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eastAsia="Times New Roman"/>
          <w:color w:val="auto"/>
        </w:rPr>
      </w:pPr>
      <w:bookmarkStart w:id="0" w:name="_GoBack"/>
      <w:bookmarkEnd w:id="0"/>
      <w:r>
        <w:rPr>
          <w:rFonts w:hint="eastAsia" w:ascii="Times New Roman" w:hAnsi="Times New Roman"/>
          <w:color w:val="auto"/>
        </w:rPr>
        <w:t>国信金阳期权交易确认书（亚式增强看跌）</w:t>
      </w:r>
    </w:p>
    <w:p>
      <w:pPr>
        <w:jc w:val="center"/>
        <w:rPr>
          <w:rFonts w:ascii="Times New Roman" w:eastAsia="Times New Roman"/>
          <w:color w:val="auto"/>
        </w:rPr>
      </w:pPr>
    </w:p>
    <w:tbl>
      <w:tblPr>
        <w:tblStyle w:val="7"/>
        <w:tblW w:w="10467" w:type="dxa"/>
        <w:jc w:val="center"/>
        <w:tblLayout w:type="fixed"/>
        <w:tblCellMar>
          <w:top w:w="0" w:type="dxa"/>
          <w:left w:w="0" w:type="dxa"/>
          <w:bottom w:w="0" w:type="dxa"/>
          <w:right w:w="0" w:type="dxa"/>
        </w:tblCellMar>
      </w:tblPr>
      <w:tblGrid>
        <w:gridCol w:w="5233"/>
        <w:gridCol w:w="5234"/>
      </w:tblGrid>
      <w:tr>
        <w:tblPrEx>
          <w:tblCellMar>
            <w:top w:w="0" w:type="dxa"/>
            <w:left w:w="0" w:type="dxa"/>
            <w:bottom w:w="0" w:type="dxa"/>
            <w:right w:w="0" w:type="dxa"/>
          </w:tblCellMar>
        </w:tblPrEx>
        <w:trPr>
          <w:jc w:val="center"/>
        </w:trPr>
        <w:tc>
          <w:tcPr>
            <w:tcW w:w="5233"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乙方</w:t>
            </w:r>
          </w:p>
        </w:tc>
        <w:tc>
          <w:tcPr>
            <w:tcW w:w="5234"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甲方</w:t>
            </w:r>
          </w:p>
        </w:tc>
      </w:tr>
      <w:tr>
        <w:tblPrEx>
          <w:tblCellMar>
            <w:top w:w="0" w:type="dxa"/>
            <w:left w:w="0" w:type="dxa"/>
            <w:bottom w:w="0" w:type="dxa"/>
            <w:right w:w="0" w:type="dxa"/>
          </w:tblCellMar>
        </w:tblPrEx>
        <w:trPr>
          <w:jc w:val="center"/>
        </w:trPr>
        <w:tc>
          <w:tcPr>
            <w:tcW w:w="5233" w:type="dxa"/>
            <w:tcBorders>
              <w:top w:val="nil"/>
              <w:left w:val="nil"/>
              <w:bottom w:val="nil"/>
              <w:right w:val="nil"/>
            </w:tcBorders>
            <w:shd w:val="clear" w:color="auto" w:fill="FFFFFF"/>
            <w:vAlign w:val="top"/>
          </w:tcPr>
          <w:p>
            <w:pPr>
              <w:rPr>
                <w:rFonts w:ascii="Times New Roman"/>
                <w:color w:val="auto"/>
                <w:sz w:val="20"/>
              </w:rPr>
            </w:pPr>
            <w:r>
              <w:rPr>
                <w:rFonts w:hint="eastAsia" w:ascii="Times New Roman" w:hAnsi="Times New Roman"/>
                <w:color w:val="auto"/>
                <w:sz w:val="20"/>
              </w:rPr>
              <w:t>公司：</w:t>
            </w:r>
            <w:r>
              <w:rPr>
                <w:rFonts w:hint="eastAsia" w:ascii="Times New Roman" w:hAnsi="Times New Roman"/>
                <w:color w:val="auto"/>
                <w:sz w:val="20"/>
                <w:szCs w:val="24"/>
                <w:lang w:val="en-US" w:eastAsia="zh-CN"/>
              </w:rPr>
              <w:t>{{客户名称}}</w:t>
            </w:r>
          </w:p>
        </w:tc>
        <w:tc>
          <w:tcPr>
            <w:tcW w:w="5234"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公司：国信金阳资本管理有限公司</w:t>
            </w:r>
          </w:p>
        </w:tc>
      </w:tr>
      <w:tr>
        <w:tblPrEx>
          <w:tblCellMar>
            <w:top w:w="0" w:type="dxa"/>
            <w:left w:w="0" w:type="dxa"/>
            <w:bottom w:w="0" w:type="dxa"/>
            <w:right w:w="0" w:type="dxa"/>
          </w:tblCellMar>
        </w:tblPrEx>
        <w:trPr>
          <w:jc w:val="center"/>
        </w:trPr>
        <w:tc>
          <w:tcPr>
            <w:tcW w:w="5233" w:type="dxa"/>
            <w:tcBorders>
              <w:top w:val="nil"/>
              <w:left w:val="nil"/>
              <w:bottom w:val="nil"/>
              <w:right w:val="nil"/>
            </w:tcBorders>
            <w:shd w:val="clear" w:color="auto" w:fill="FFFFFF"/>
            <w:vAlign w:val="top"/>
          </w:tcPr>
          <w:p>
            <w:pPr>
              <w:rPr>
                <w:rFonts w:ascii="Times New Roman" w:eastAsia="Times New Roman"/>
                <w:color w:val="auto"/>
                <w:sz w:val="20"/>
              </w:rPr>
            </w:pPr>
            <w:r>
              <w:rPr>
                <w:rFonts w:hint="eastAsia" w:ascii="Times New Roman" w:hAnsi="Times New Roman"/>
                <w:color w:val="auto"/>
                <w:sz w:val="20"/>
              </w:rPr>
              <w:t>地址：</w:t>
            </w:r>
            <w:r>
              <w:rPr>
                <w:rFonts w:hint="eastAsia" w:ascii="Times New Roman" w:hAnsi="Times New Roman"/>
                <w:color w:val="auto"/>
                <w:sz w:val="20"/>
                <w:szCs w:val="24"/>
                <w:lang w:val="en-US" w:eastAsia="zh-CN"/>
              </w:rPr>
              <w:t>{{乙方通信地址}}</w:t>
            </w:r>
          </w:p>
        </w:tc>
        <w:tc>
          <w:tcPr>
            <w:tcW w:w="5234"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地址：上海市虹口区东大名路</w:t>
            </w:r>
            <w:r>
              <w:rPr>
                <w:rFonts w:ascii="Times New Roman" w:hAnsi="Times New Roman"/>
                <w:color w:val="auto"/>
                <w:sz w:val="20"/>
              </w:rPr>
              <w:t>358</w:t>
            </w:r>
            <w:r>
              <w:rPr>
                <w:rFonts w:hint="eastAsia" w:ascii="Times New Roman" w:hAnsi="Times New Roman"/>
                <w:color w:val="auto"/>
                <w:sz w:val="20"/>
              </w:rPr>
              <w:t>号国际港务大厦</w:t>
            </w:r>
            <w:r>
              <w:rPr>
                <w:rFonts w:ascii="Times New Roman" w:hAnsi="Times New Roman"/>
                <w:color w:val="auto"/>
                <w:sz w:val="20"/>
              </w:rPr>
              <w:t>2011</w:t>
            </w:r>
            <w:r>
              <w:rPr>
                <w:rFonts w:hint="eastAsia" w:ascii="Times New Roman" w:hAnsi="Times New Roman"/>
                <w:color w:val="auto"/>
                <w:sz w:val="20"/>
              </w:rPr>
              <w:t>室</w:t>
            </w:r>
          </w:p>
        </w:tc>
      </w:tr>
      <w:tr>
        <w:tblPrEx>
          <w:tblCellMar>
            <w:top w:w="0" w:type="dxa"/>
            <w:left w:w="0" w:type="dxa"/>
            <w:bottom w:w="0" w:type="dxa"/>
            <w:right w:w="0" w:type="dxa"/>
          </w:tblCellMar>
        </w:tblPrEx>
        <w:trPr>
          <w:jc w:val="center"/>
        </w:trPr>
        <w:tc>
          <w:tcPr>
            <w:tcW w:w="5233" w:type="dxa"/>
            <w:tcBorders>
              <w:top w:val="nil"/>
              <w:left w:val="nil"/>
              <w:bottom w:val="nil"/>
              <w:right w:val="nil"/>
            </w:tcBorders>
            <w:shd w:val="clear" w:color="auto" w:fill="FFFFFF"/>
            <w:vAlign w:val="top"/>
          </w:tcPr>
          <w:p>
            <w:pPr>
              <w:rPr>
                <w:rFonts w:ascii="Times New Roman"/>
                <w:color w:val="auto"/>
                <w:sz w:val="20"/>
              </w:rPr>
            </w:pPr>
            <w:r>
              <w:rPr>
                <w:rFonts w:hint="eastAsia" w:ascii="Times New Roman" w:hAnsi="Times New Roman"/>
                <w:color w:val="auto"/>
                <w:sz w:val="20"/>
              </w:rPr>
              <w:t>电话：</w:t>
            </w:r>
            <w:r>
              <w:rPr>
                <w:rFonts w:hint="eastAsia" w:ascii="Times New Roman" w:hAnsi="Times New Roman"/>
                <w:color w:val="auto"/>
                <w:sz w:val="20"/>
                <w:szCs w:val="24"/>
                <w:lang w:val="en-US" w:eastAsia="zh-CN"/>
              </w:rPr>
              <w:t>{{乙方电话}}</w:t>
            </w:r>
          </w:p>
        </w:tc>
        <w:tc>
          <w:tcPr>
            <w:tcW w:w="5234" w:type="dxa"/>
            <w:tcBorders>
              <w:top w:val="nil"/>
              <w:left w:val="nil"/>
              <w:bottom w:val="nil"/>
              <w:right w:val="nil"/>
            </w:tcBorders>
            <w:shd w:val="clear" w:color="auto" w:fill="FFFFFF"/>
          </w:tcPr>
          <w:p>
            <w:pPr>
              <w:rPr>
                <w:rFonts w:ascii="Times New Roman" w:hAnsi="Times New Roman"/>
                <w:color w:val="auto"/>
                <w:sz w:val="20"/>
              </w:rPr>
            </w:pPr>
            <w:r>
              <w:rPr>
                <w:rFonts w:hint="eastAsia" w:ascii="Times New Roman" w:hAnsi="Times New Roman"/>
                <w:color w:val="auto"/>
                <w:sz w:val="20"/>
              </w:rPr>
              <w:t>电话：</w:t>
            </w:r>
            <w:r>
              <w:rPr>
                <w:rFonts w:ascii="Times New Roman" w:hAnsi="Times New Roman"/>
                <w:color w:val="auto"/>
                <w:sz w:val="20"/>
              </w:rPr>
              <w:t>021-55007899</w:t>
            </w:r>
          </w:p>
        </w:tc>
      </w:tr>
      <w:tr>
        <w:tblPrEx>
          <w:tblCellMar>
            <w:top w:w="0" w:type="dxa"/>
            <w:left w:w="0" w:type="dxa"/>
            <w:bottom w:w="0" w:type="dxa"/>
            <w:right w:w="0" w:type="dxa"/>
          </w:tblCellMar>
        </w:tblPrEx>
        <w:trPr>
          <w:jc w:val="center"/>
        </w:trPr>
        <w:tc>
          <w:tcPr>
            <w:tcW w:w="5233" w:type="dxa"/>
            <w:tcBorders>
              <w:top w:val="nil"/>
              <w:left w:val="nil"/>
              <w:bottom w:val="nil"/>
              <w:right w:val="nil"/>
            </w:tcBorders>
            <w:shd w:val="clear" w:color="auto" w:fill="FFFFFF"/>
            <w:vAlign w:val="top"/>
          </w:tcPr>
          <w:p>
            <w:pPr>
              <w:rPr>
                <w:rFonts w:ascii="Times New Roman"/>
                <w:color w:val="auto"/>
                <w:sz w:val="20"/>
              </w:rPr>
            </w:pPr>
            <w:r>
              <w:rPr>
                <w:rFonts w:hint="eastAsia" w:ascii="Times New Roman" w:hAnsi="Times New Roman"/>
                <w:color w:val="auto"/>
                <w:sz w:val="20"/>
              </w:rPr>
              <w:t>开户银行：</w:t>
            </w:r>
            <w:r>
              <w:rPr>
                <w:rFonts w:hint="eastAsia" w:ascii="Times New Roman" w:hAnsi="Times New Roman"/>
                <w:color w:val="auto"/>
                <w:sz w:val="20"/>
                <w:szCs w:val="24"/>
                <w:lang w:val="en-US" w:eastAsia="zh-CN"/>
              </w:rPr>
              <w:t>{{乙方开户行}}</w:t>
            </w:r>
          </w:p>
        </w:tc>
        <w:tc>
          <w:tcPr>
            <w:tcW w:w="5234"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开户银行：光大银行上海北外滩支行</w:t>
            </w:r>
          </w:p>
        </w:tc>
      </w:tr>
      <w:tr>
        <w:tblPrEx>
          <w:tblCellMar>
            <w:top w:w="0" w:type="dxa"/>
            <w:left w:w="0" w:type="dxa"/>
            <w:bottom w:w="0" w:type="dxa"/>
            <w:right w:w="0" w:type="dxa"/>
          </w:tblCellMar>
        </w:tblPrEx>
        <w:trPr>
          <w:jc w:val="center"/>
        </w:trPr>
        <w:tc>
          <w:tcPr>
            <w:tcW w:w="5233" w:type="dxa"/>
            <w:tcBorders>
              <w:top w:val="nil"/>
              <w:left w:val="nil"/>
              <w:bottom w:val="nil"/>
              <w:right w:val="nil"/>
            </w:tcBorders>
            <w:shd w:val="clear" w:color="auto" w:fill="FFFFFF"/>
            <w:vAlign w:val="top"/>
          </w:tcPr>
          <w:p>
            <w:pPr>
              <w:rPr>
                <w:rFonts w:ascii="Times New Roman"/>
                <w:color w:val="auto"/>
                <w:sz w:val="20"/>
              </w:rPr>
            </w:pPr>
            <w:r>
              <w:rPr>
                <w:rFonts w:hint="eastAsia" w:ascii="Times New Roman" w:hAnsi="Times New Roman"/>
                <w:color w:val="auto"/>
                <w:sz w:val="20"/>
              </w:rPr>
              <w:t>开户账号：</w:t>
            </w:r>
            <w:r>
              <w:rPr>
                <w:rFonts w:hint="eastAsia" w:ascii="Times New Roman" w:hAnsi="Times New Roman"/>
                <w:color w:val="auto"/>
                <w:sz w:val="20"/>
                <w:szCs w:val="24"/>
                <w:lang w:val="en-US" w:eastAsia="zh-CN"/>
              </w:rPr>
              <w:t>{{乙方账号}}</w:t>
            </w:r>
          </w:p>
        </w:tc>
        <w:tc>
          <w:tcPr>
            <w:tcW w:w="5234" w:type="dxa"/>
            <w:tcBorders>
              <w:top w:val="nil"/>
              <w:left w:val="nil"/>
              <w:bottom w:val="nil"/>
              <w:right w:val="nil"/>
            </w:tcBorders>
            <w:shd w:val="clear" w:color="auto" w:fill="FFFFFF"/>
          </w:tcPr>
          <w:p>
            <w:pPr>
              <w:rPr>
                <w:rFonts w:ascii="Times New Roman" w:hAnsi="Times New Roman"/>
                <w:color w:val="auto"/>
                <w:sz w:val="20"/>
              </w:rPr>
            </w:pPr>
            <w:r>
              <w:rPr>
                <w:rFonts w:hint="eastAsia" w:ascii="Times New Roman" w:hAnsi="Times New Roman"/>
                <w:color w:val="auto"/>
                <w:sz w:val="20"/>
              </w:rPr>
              <w:t>开户账号：</w:t>
            </w:r>
            <w:r>
              <w:rPr>
                <w:rFonts w:ascii="Times New Roman" w:hAnsi="Times New Roman"/>
                <w:color w:val="auto"/>
                <w:sz w:val="20"/>
              </w:rPr>
              <w:t>76350188000189788</w:t>
            </w:r>
          </w:p>
        </w:tc>
      </w:tr>
    </w:tbl>
    <w:p>
      <w:pPr>
        <w:rPr>
          <w:rFonts w:ascii="Times New Roman" w:eastAsia="Times New Roman"/>
          <w:color w:val="auto"/>
          <w:sz w:val="20"/>
        </w:rPr>
      </w:pPr>
      <w:r>
        <w:rPr>
          <w:rFonts w:ascii="Times New Roman" w:hAnsi="Times New Roman"/>
          <w:color w:val="auto"/>
          <w:sz w:val="20"/>
        </w:rPr>
        <w:t>1.</w:t>
      </w:r>
      <w:r>
        <w:rPr>
          <w:rFonts w:hint="eastAsia" w:ascii="Times New Roman" w:hAnsi="Times New Roman"/>
          <w:color w:val="auto"/>
          <w:sz w:val="20"/>
        </w:rPr>
        <w:t>甲方和乙方以下单独称</w:t>
      </w:r>
      <w:r>
        <w:rPr>
          <w:rFonts w:ascii="Times New Roman" w:hAnsi="Times New Roman"/>
          <w:color w:val="auto"/>
          <w:sz w:val="20"/>
        </w:rPr>
        <w:t>“</w:t>
      </w:r>
      <w:r>
        <w:rPr>
          <w:rFonts w:hint="eastAsia" w:ascii="Times New Roman" w:hAnsi="Times New Roman"/>
          <w:color w:val="auto"/>
          <w:sz w:val="20"/>
        </w:rPr>
        <w:t>交易一方</w:t>
      </w:r>
      <w:r>
        <w:rPr>
          <w:rFonts w:ascii="Times New Roman" w:hAnsi="Times New Roman"/>
          <w:color w:val="auto"/>
          <w:sz w:val="20"/>
        </w:rPr>
        <w:t>”</w:t>
      </w:r>
      <w:r>
        <w:rPr>
          <w:rFonts w:hint="eastAsia" w:ascii="Times New Roman" w:hAnsi="Times New Roman"/>
          <w:color w:val="auto"/>
          <w:sz w:val="20"/>
        </w:rPr>
        <w:t>，合称</w:t>
      </w:r>
      <w:r>
        <w:rPr>
          <w:rFonts w:ascii="Times New Roman" w:hAnsi="Times New Roman"/>
          <w:color w:val="auto"/>
          <w:sz w:val="20"/>
        </w:rPr>
        <w:t>“</w:t>
      </w:r>
      <w:r>
        <w:rPr>
          <w:rFonts w:hint="eastAsia" w:ascii="Times New Roman" w:hAnsi="Times New Roman"/>
          <w:color w:val="auto"/>
          <w:sz w:val="20"/>
        </w:rPr>
        <w:t>交易双方</w:t>
      </w:r>
      <w:r>
        <w:rPr>
          <w:rFonts w:ascii="Times New Roman" w:hAnsi="Times New Roman"/>
          <w:color w:val="auto"/>
          <w:sz w:val="20"/>
        </w:rPr>
        <w:t>”</w:t>
      </w:r>
      <w:r>
        <w:rPr>
          <w:rFonts w:hint="eastAsia" w:ascii="Times New Roman" w:hAnsi="Times New Roman"/>
          <w:color w:val="auto"/>
          <w:sz w:val="20"/>
        </w:rPr>
        <w:t>。交易双方已经签署了《中国证券期货市场衍生品交易主协议》（以下称</w:t>
      </w:r>
      <w:r>
        <w:rPr>
          <w:rFonts w:ascii="Times New Roman" w:hAnsi="Times New Roman"/>
          <w:color w:val="auto"/>
          <w:sz w:val="20"/>
        </w:rPr>
        <w:t>“</w:t>
      </w:r>
      <w:r>
        <w:rPr>
          <w:rFonts w:hint="eastAsia" w:ascii="Times New Roman" w:hAnsi="Times New Roman"/>
          <w:color w:val="auto"/>
          <w:sz w:val="20"/>
        </w:rPr>
        <w:t>主协议</w:t>
      </w:r>
      <w:r>
        <w:rPr>
          <w:rFonts w:ascii="Times New Roman" w:hAnsi="Times New Roman"/>
          <w:color w:val="auto"/>
          <w:sz w:val="20"/>
        </w:rPr>
        <w:t>”</w:t>
      </w:r>
      <w:r>
        <w:rPr>
          <w:rFonts w:hint="eastAsia" w:ascii="Times New Roman" w:hAnsi="Times New Roman"/>
          <w:color w:val="auto"/>
          <w:sz w:val="20"/>
        </w:rPr>
        <w:t>）及补充协议，本确认书构成主协议下的一项</w:t>
      </w:r>
      <w:r>
        <w:rPr>
          <w:rFonts w:ascii="Times New Roman" w:hAnsi="Times New Roman"/>
          <w:color w:val="auto"/>
          <w:sz w:val="20"/>
        </w:rPr>
        <w:t>“</w:t>
      </w:r>
      <w:r>
        <w:rPr>
          <w:rFonts w:hint="eastAsia" w:ascii="Times New Roman" w:hAnsi="Times New Roman"/>
          <w:color w:val="auto"/>
          <w:sz w:val="20"/>
        </w:rPr>
        <w:t>交易有效约定</w:t>
      </w:r>
      <w:r>
        <w:rPr>
          <w:rFonts w:ascii="Times New Roman" w:hAnsi="Times New Roman"/>
          <w:color w:val="auto"/>
          <w:sz w:val="20"/>
        </w:rPr>
        <w:t>”</w:t>
      </w:r>
      <w:r>
        <w:rPr>
          <w:rFonts w:hint="eastAsia" w:ascii="Times New Roman" w:hAnsi="Times New Roman"/>
          <w:color w:val="auto"/>
          <w:sz w:val="20"/>
        </w:rPr>
        <w:t>，主协议和补充协议中的全部条款适用于本确认书，除非本确认书中另有约定。</w:t>
      </w:r>
    </w:p>
    <w:p>
      <w:pPr>
        <w:rPr>
          <w:rFonts w:ascii="Times New Roman" w:eastAsia="Times New Roman"/>
          <w:color w:val="auto"/>
          <w:sz w:val="20"/>
        </w:rPr>
      </w:pPr>
      <w:r>
        <w:rPr>
          <w:rFonts w:ascii="Times New Roman" w:hAnsi="Times New Roman"/>
          <w:color w:val="auto"/>
          <w:sz w:val="20"/>
        </w:rPr>
        <w:t>2.</w:t>
      </w:r>
      <w:r>
        <w:rPr>
          <w:rFonts w:hint="eastAsia" w:ascii="Times New Roman" w:hAnsi="Times New Roman"/>
          <w:color w:val="auto"/>
          <w:sz w:val="20"/>
        </w:rPr>
        <w:t>本确认书适用《中国证券期货市场场外衍生品交易商品类衍生品定义文件（</w:t>
      </w:r>
      <w:r>
        <w:rPr>
          <w:rFonts w:ascii="Times New Roman" w:hAnsi="Times New Roman"/>
          <w:color w:val="auto"/>
          <w:sz w:val="20"/>
        </w:rPr>
        <w:t>2014</w:t>
      </w:r>
      <w:r>
        <w:rPr>
          <w:rFonts w:hint="eastAsia" w:ascii="Times New Roman" w:hAnsi="Times New Roman"/>
          <w:color w:val="auto"/>
          <w:sz w:val="20"/>
        </w:rPr>
        <w:t>年版）》及其修改或补充（以下称</w:t>
      </w:r>
      <w:r>
        <w:rPr>
          <w:rFonts w:ascii="Times New Roman" w:hAnsi="Times New Roman"/>
          <w:color w:val="auto"/>
          <w:sz w:val="20"/>
        </w:rPr>
        <w:t>“</w:t>
      </w:r>
      <w:r>
        <w:rPr>
          <w:rFonts w:hint="eastAsia" w:ascii="Times New Roman" w:hAnsi="Times New Roman"/>
          <w:color w:val="auto"/>
          <w:sz w:val="20"/>
        </w:rPr>
        <w:t>商品定义文件</w:t>
      </w:r>
      <w:r>
        <w:rPr>
          <w:rFonts w:ascii="Times New Roman" w:hAnsi="Times New Roman"/>
          <w:color w:val="auto"/>
          <w:sz w:val="20"/>
        </w:rPr>
        <w:t>”</w:t>
      </w:r>
      <w:r>
        <w:rPr>
          <w:rFonts w:hint="eastAsia" w:ascii="Times New Roman" w:hAnsi="Times New Roman"/>
          <w:color w:val="auto"/>
          <w:sz w:val="20"/>
        </w:rPr>
        <w:t>），若本确认书与商品定义文件中的约定不一致，本确认书的相关约定具有优先法律效力。</w:t>
      </w:r>
    </w:p>
    <w:p>
      <w:pPr>
        <w:rPr>
          <w:rFonts w:ascii="Times New Roman" w:eastAsia="Times New Roman"/>
          <w:color w:val="auto"/>
          <w:sz w:val="20"/>
        </w:rPr>
      </w:pPr>
      <w:r>
        <w:rPr>
          <w:rFonts w:ascii="Times New Roman" w:hAnsi="Times New Roman"/>
          <w:color w:val="auto"/>
          <w:sz w:val="20"/>
        </w:rPr>
        <w:t>3.</w:t>
      </w:r>
      <w:r>
        <w:rPr>
          <w:rFonts w:hint="eastAsia" w:ascii="Times New Roman" w:hAnsi="Times New Roman"/>
          <w:color w:val="auto"/>
          <w:sz w:val="20"/>
        </w:rPr>
        <w:t>交易双方同意，本确认书所述条款构成了交易双方之间就本确认书项下交易的完整条款，且对交易双方具有法律约束力。</w:t>
      </w:r>
    </w:p>
    <w:p>
      <w:pPr>
        <w:rPr>
          <w:rFonts w:ascii="Times New Roman" w:eastAsia="Times New Roman"/>
          <w:color w:val="auto"/>
          <w:sz w:val="20"/>
        </w:rPr>
      </w:pPr>
      <w:r>
        <w:rPr>
          <w:rFonts w:ascii="Times New Roman" w:hAnsi="Times New Roman"/>
          <w:color w:val="auto"/>
          <w:sz w:val="20"/>
        </w:rPr>
        <w:t>4.</w:t>
      </w:r>
      <w:r>
        <w:rPr>
          <w:rFonts w:hint="eastAsia" w:ascii="Times New Roman" w:hAnsi="Times New Roman"/>
          <w:color w:val="auto"/>
          <w:sz w:val="20"/>
        </w:rPr>
        <w:t>费用约定：</w:t>
      </w:r>
    </w:p>
    <w:p>
      <w:pPr>
        <w:rPr>
          <w:rFonts w:hint="eastAsia" w:ascii="Times New Roman" w:eastAsia="等线"/>
          <w:color w:val="auto"/>
          <w:sz w:val="20"/>
          <w:lang w:val="en-US" w:eastAsia="zh-CN"/>
        </w:rPr>
      </w:pPr>
      <w:r>
        <w:rPr>
          <w:rFonts w:hint="eastAsia" w:ascii="Times New Roman" w:hAnsi="Times New Roman"/>
          <w:color w:val="auto"/>
          <w:sz w:val="20"/>
        </w:rPr>
        <w:t>权利金：</w:t>
      </w:r>
      <w:r>
        <w:rPr>
          <w:rFonts w:hint="eastAsia" w:ascii="Times New Roman" w:hAnsi="Times New Roman"/>
          <w:color w:val="auto"/>
          <w:sz w:val="20"/>
          <w:lang w:val="en-US" w:eastAsia="zh-CN"/>
        </w:rPr>
        <w:t>{{行权支付方向}}</w:t>
      </w:r>
      <w:r>
        <w:rPr>
          <w:rFonts w:ascii="Times New Roman" w:hAnsi="Times New Roman"/>
          <w:color w:val="auto"/>
          <w:sz w:val="20"/>
        </w:rPr>
        <w:t xml:space="preserve">  </w:t>
      </w:r>
      <w:r>
        <w:rPr>
          <w:rFonts w:hint="default" w:ascii="Times New Roman" w:hAnsi="Times New Roman"/>
          <w:color w:val="auto"/>
          <w:sz w:val="20"/>
          <w:szCs w:val="24"/>
        </w:rPr>
        <w:t>{{权利金总额}}</w:t>
      </w:r>
      <w:r>
        <w:rPr>
          <w:rFonts w:hint="eastAsia" w:ascii="Times New Roman" w:hAnsi="Times New Roman"/>
          <w:color w:val="auto"/>
          <w:sz w:val="20"/>
          <w:szCs w:val="24"/>
          <w:lang w:val="en-US" w:eastAsia="zh-CN"/>
        </w:rPr>
        <w:t>元</w:t>
      </w:r>
    </w:p>
    <w:p>
      <w:pPr>
        <w:rPr>
          <w:rFonts w:ascii="Times New Roman" w:eastAsia="Times New Roman"/>
          <w:color w:val="auto"/>
          <w:sz w:val="20"/>
        </w:rPr>
      </w:pPr>
      <w:r>
        <w:rPr>
          <w:rFonts w:hint="eastAsia" w:ascii="Times New Roman" w:hAnsi="Times New Roman"/>
          <w:color w:val="auto"/>
          <w:sz w:val="20"/>
        </w:rPr>
        <w:t>支付日期：</w:t>
      </w:r>
      <w:r>
        <w:rPr>
          <w:rFonts w:hint="eastAsia" w:ascii="Times New Roman" w:hAnsi="Times New Roman"/>
          <w:color w:val="auto"/>
          <w:sz w:val="20"/>
          <w:szCs w:val="24"/>
          <w:lang w:val="en-US" w:eastAsia="zh-CN"/>
        </w:rPr>
        <w:t>{{权利金支付日}}</w:t>
      </w:r>
      <w:r>
        <w:rPr>
          <w:rFonts w:hint="eastAsia" w:ascii="Times New Roman" w:hAnsi="Times New Roman"/>
          <w:color w:val="auto"/>
          <w:sz w:val="20"/>
        </w:rPr>
        <w:t>，如该日为非交易日，则支付日应自动推迟至该日后的第一个交易日。</w:t>
      </w:r>
    </w:p>
    <w:p>
      <w:pPr>
        <w:rPr>
          <w:rFonts w:ascii="Times New Roman" w:eastAsia="Times New Roman"/>
          <w:color w:val="auto"/>
          <w:sz w:val="20"/>
        </w:rPr>
      </w:pPr>
      <w:r>
        <w:rPr>
          <w:rFonts w:ascii="Times New Roman" w:hAnsi="Times New Roman"/>
          <w:color w:val="auto"/>
          <w:sz w:val="20"/>
        </w:rPr>
        <w:t>5</w:t>
      </w:r>
      <w:r>
        <w:rPr>
          <w:rFonts w:hint="eastAsia" w:ascii="Times New Roman" w:hAnsi="Times New Roman"/>
          <w:color w:val="auto"/>
          <w:sz w:val="20"/>
        </w:rPr>
        <w:t>、基本条款：</w:t>
      </w:r>
    </w:p>
    <w:p>
      <w:pPr>
        <w:rPr>
          <w:rFonts w:ascii="Times New Roman" w:eastAsia="Times New Roman"/>
          <w:color w:val="auto"/>
          <w:sz w:val="20"/>
        </w:rPr>
      </w:pPr>
    </w:p>
    <w:tbl>
      <w:tblPr>
        <w:tblStyle w:val="7"/>
        <w:tblW w:w="1046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46"/>
        <w:gridCol w:w="1046"/>
        <w:gridCol w:w="1046"/>
        <w:gridCol w:w="1047"/>
        <w:gridCol w:w="1047"/>
        <w:gridCol w:w="1164"/>
        <w:gridCol w:w="930"/>
        <w:gridCol w:w="1047"/>
        <w:gridCol w:w="1047"/>
        <w:gridCol w:w="104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jc w:val="center"/>
        </w:trPr>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hint="eastAsia" w:ascii="Times New Roman" w:hAnsi="Times New Roman"/>
                <w:color w:val="auto"/>
                <w:sz w:val="16"/>
              </w:rPr>
              <w:t>交易起始日</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hint="eastAsia" w:ascii="Times New Roman" w:hAnsi="Times New Roman"/>
                <w:color w:val="auto"/>
                <w:sz w:val="16"/>
              </w:rPr>
              <w:t>交易编号</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hint="eastAsia" w:ascii="Times New Roman" w:hAnsi="Times New Roman"/>
                <w:color w:val="auto"/>
                <w:sz w:val="16"/>
              </w:rPr>
              <w:t>交易方向</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hint="eastAsia" w:ascii="Times New Roman" w:hAnsi="Times New Roman"/>
                <w:color w:val="auto"/>
                <w:sz w:val="16"/>
              </w:rPr>
              <w:t>交易标的</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hint="eastAsia" w:ascii="Times New Roman" w:hAnsi="Times New Roman"/>
                <w:color w:val="auto"/>
                <w:sz w:val="16"/>
              </w:rPr>
              <w:t>期权到期日</w:t>
            </w:r>
          </w:p>
        </w:tc>
        <w:tc>
          <w:tcPr>
            <w:tcW w:w="11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hAnsi="Times New Roman"/>
                <w:color w:val="auto"/>
                <w:sz w:val="16"/>
              </w:rPr>
            </w:pPr>
            <w:r>
              <w:rPr>
                <w:rFonts w:hint="eastAsia" w:ascii="Times New Roman" w:hAnsi="Times New Roman"/>
                <w:color w:val="auto"/>
                <w:sz w:val="16"/>
              </w:rPr>
              <w:t>数量</w:t>
            </w:r>
            <w:r>
              <w:rPr>
                <w:rFonts w:ascii="Times New Roman" w:hAnsi="Times New Roman"/>
                <w:color w:val="auto"/>
                <w:sz w:val="16"/>
              </w:rPr>
              <w:t>(</w:t>
            </w:r>
            <w:r>
              <w:rPr>
                <w:rFonts w:hint="eastAsia" w:ascii="Times New Roman" w:hAnsi="Times New Roman"/>
                <w:color w:val="auto"/>
                <w:sz w:val="16"/>
              </w:rPr>
              <w:t>报价单位</w:t>
            </w:r>
            <w:r>
              <w:rPr>
                <w:rFonts w:ascii="Times New Roman" w:hAnsi="Times New Roman"/>
                <w:color w:val="auto"/>
                <w:sz w:val="16"/>
              </w:rPr>
              <w:t>)</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hint="eastAsia" w:ascii="Times New Roman" w:hAnsi="Times New Roman"/>
                <w:color w:val="auto"/>
                <w:sz w:val="16"/>
              </w:rPr>
              <w:t>期权类型</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hint="eastAsia" w:ascii="宋体" w:hAnsi="宋体" w:eastAsia="宋体" w:cs="宋体"/>
                <w:color w:val="auto"/>
                <w:kern w:val="2"/>
                <w:sz w:val="16"/>
              </w:rPr>
              <w:t>期初价格</w:t>
            </w:r>
            <w:r>
              <w:rPr>
                <w:rFonts w:ascii="宋体" w:hAnsi="宋体" w:eastAsia="宋体" w:cs="宋体"/>
                <w:kern w:val="2"/>
                <w:sz w:val="16"/>
              </w:rPr>
              <w:t>(</w:t>
            </w:r>
            <w:r>
              <w:rPr>
                <w:rFonts w:hint="eastAsia" w:ascii="宋体" w:hAnsi="宋体" w:eastAsia="宋体" w:cs="宋体"/>
                <w:kern w:val="2"/>
                <w:sz w:val="16"/>
              </w:rPr>
              <w:t>元</w:t>
            </w:r>
            <w:r>
              <w:rPr>
                <w:rFonts w:ascii="宋体" w:hAnsi="宋体" w:eastAsia="宋体" w:cs="宋体"/>
                <w:kern w:val="2"/>
                <w:sz w:val="16"/>
              </w:rPr>
              <w:t>)</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hAnsi="Times New Roman"/>
                <w:color w:val="auto"/>
                <w:sz w:val="16"/>
              </w:rPr>
            </w:pPr>
            <w:r>
              <w:rPr>
                <w:rFonts w:hint="eastAsia" w:ascii="Times New Roman" w:hAnsi="Times New Roman"/>
                <w:color w:val="auto"/>
                <w:sz w:val="16"/>
              </w:rPr>
              <w:t>执行价（元）</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hint="eastAsia" w:ascii="Times New Roman" w:hAnsi="Times New Roman"/>
                <w:color w:val="auto"/>
                <w:sz w:val="16"/>
              </w:rPr>
              <w:t>增强价格（元）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jc w:val="center"/>
        </w:trPr>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beforeLines="0" w:afterLines="0"/>
              <w:jc w:val="center"/>
              <w:rPr>
                <w:rFonts w:ascii="Times New Roman"/>
                <w:color w:val="auto"/>
                <w:sz w:val="16"/>
              </w:rPr>
            </w:pPr>
            <w:r>
              <w:rPr>
                <w:rFonts w:hint="default" w:ascii="Times New Roman" w:hAnsi="Times New Roman"/>
                <w:color w:val="auto"/>
                <w:sz w:val="16"/>
                <w:szCs w:val="24"/>
              </w:rPr>
              <w:t>{{交易起始日}}</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beforeLines="0" w:afterLines="0"/>
              <w:jc w:val="center"/>
              <w:rPr>
                <w:rFonts w:ascii="Times New Roman"/>
                <w:color w:val="auto"/>
                <w:sz w:val="16"/>
              </w:rPr>
            </w:pPr>
            <w:r>
              <w:rPr>
                <w:rFonts w:hint="default" w:ascii="Times New Roman"/>
                <w:color w:val="auto"/>
                <w:sz w:val="16"/>
                <w:szCs w:val="24"/>
              </w:rPr>
              <w:t>{{交易编号}}</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beforeLines="0" w:afterLines="0"/>
              <w:jc w:val="center"/>
              <w:rPr>
                <w:rFonts w:ascii="Times New Roman" w:eastAsia="Times New Roman"/>
                <w:color w:val="auto"/>
                <w:sz w:val="16"/>
              </w:rPr>
            </w:pPr>
            <w:r>
              <w:rPr>
                <w:rFonts w:hint="eastAsia" w:ascii="Times New Roman" w:hAnsi="Times New Roman"/>
                <w:color w:val="auto"/>
                <w:sz w:val="16"/>
                <w:szCs w:val="24"/>
              </w:rPr>
              <w:t>乙方{{交易方向}}</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beforeLines="0" w:afterLines="0"/>
              <w:jc w:val="center"/>
              <w:rPr>
                <w:rFonts w:ascii="Times New Roman" w:hAnsi="Times New Roman"/>
                <w:color w:val="auto"/>
                <w:sz w:val="16"/>
              </w:rPr>
            </w:pPr>
            <w:r>
              <w:rPr>
                <w:rFonts w:hint="default" w:ascii="Times New Roman" w:hAnsi="Times New Roman"/>
                <w:color w:val="auto"/>
                <w:sz w:val="16"/>
                <w:szCs w:val="24"/>
              </w:rPr>
              <w:t>{{交易标的}}</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beforeLines="0" w:afterLines="0"/>
              <w:jc w:val="center"/>
              <w:rPr>
                <w:rFonts w:ascii="Times New Roman"/>
                <w:color w:val="auto"/>
                <w:sz w:val="16"/>
              </w:rPr>
            </w:pPr>
            <w:r>
              <w:rPr>
                <w:rFonts w:hint="default" w:ascii="Times New Roman" w:hAnsi="Times New Roman"/>
                <w:color w:val="auto"/>
                <w:sz w:val="16"/>
                <w:szCs w:val="24"/>
              </w:rPr>
              <w:t>{{期权到期日}}</w:t>
            </w:r>
          </w:p>
        </w:tc>
        <w:tc>
          <w:tcPr>
            <w:tcW w:w="11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beforeLines="0" w:afterLines="0"/>
              <w:jc w:val="center"/>
              <w:rPr>
                <w:rFonts w:ascii="Times New Roman" w:hAnsi="Times New Roman"/>
                <w:color w:val="auto"/>
                <w:sz w:val="16"/>
              </w:rPr>
            </w:pPr>
            <w:r>
              <w:rPr>
                <w:rFonts w:hint="default" w:ascii="Times New Roman" w:hAnsi="Times New Roman"/>
                <w:color w:val="auto"/>
                <w:sz w:val="16"/>
                <w:szCs w:val="24"/>
              </w:rPr>
              <w:t>{{数量}}</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ascii="Times New Roman" w:hAnsi="Times New Roman"/>
                <w:color w:val="auto"/>
                <w:sz w:val="16"/>
              </w:rPr>
              <w:t>r-</w:t>
            </w:r>
            <w:r>
              <w:rPr>
                <w:rFonts w:hint="eastAsia" w:ascii="Times New Roman" w:hAnsi="Times New Roman"/>
                <w:color w:val="auto"/>
                <w:sz w:val="16"/>
              </w:rPr>
              <w:t>亚式增强看跌</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beforeLines="0" w:afterLines="0"/>
              <w:jc w:val="center"/>
              <w:rPr>
                <w:rFonts w:ascii="Times New Roman" w:hAnsi="Times New Roman" w:eastAsia="宋体"/>
                <w:color w:val="auto"/>
                <w:sz w:val="16"/>
              </w:rPr>
            </w:pPr>
            <w:r>
              <w:rPr>
                <w:rFonts w:hint="default" w:ascii="Times New Roman"/>
                <w:color w:val="auto"/>
                <w:kern w:val="2"/>
                <w:sz w:val="16"/>
                <w:szCs w:val="24"/>
              </w:rPr>
              <w:t>{{期初价格}}</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beforeLines="0" w:afterLines="0"/>
              <w:jc w:val="center"/>
              <w:rPr>
                <w:rFonts w:ascii="Times New Roman" w:eastAsia="宋体"/>
                <w:color w:val="auto"/>
              </w:rPr>
            </w:pPr>
            <w:r>
              <w:rPr>
                <w:rFonts w:hint="default" w:ascii="Times New Roman" w:hAnsi="Times New Roman" w:eastAsia="宋体"/>
                <w:color w:val="auto"/>
                <w:sz w:val="16"/>
                <w:szCs w:val="24"/>
              </w:rPr>
              <w:t>{{执行价格}}</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beforeLines="0" w:afterLines="0"/>
              <w:jc w:val="center"/>
              <w:rPr>
                <w:rFonts w:ascii="Times New Roman" w:hAnsi="Times New Roman" w:eastAsia="宋体"/>
                <w:color w:val="auto"/>
                <w:sz w:val="16"/>
              </w:rPr>
            </w:pPr>
            <w:r>
              <w:rPr>
                <w:rFonts w:hint="default" w:ascii="Times New Roman" w:hAnsi="Times New Roman"/>
                <w:color w:val="auto"/>
                <w:sz w:val="16"/>
                <w:szCs w:val="24"/>
              </w:rPr>
              <w:t>{{</w:t>
            </w:r>
            <w:r>
              <w:rPr>
                <w:rFonts w:hint="eastAsia" w:ascii="Times New Roman" w:hAnsi="Times New Roman"/>
                <w:color w:val="auto"/>
                <w:sz w:val="16"/>
              </w:rPr>
              <w:t>增强价格</w:t>
            </w:r>
            <w:r>
              <w:rPr>
                <w:rFonts w:hint="default" w:ascii="Times New Roman" w:hAnsi="Times New Roman"/>
                <w:color w:val="auto"/>
                <w:sz w:val="16"/>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jc w:val="center"/>
        </w:trPr>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hint="eastAsia" w:ascii="Times New Roman" w:hAnsi="Times New Roman"/>
                <w:color w:val="auto"/>
                <w:sz w:val="16"/>
              </w:rPr>
              <w:t>权利金</w:t>
            </w:r>
            <w:r>
              <w:rPr>
                <w:rFonts w:ascii="Times New Roman" w:hAnsi="Times New Roman"/>
                <w:color w:val="auto"/>
                <w:sz w:val="16"/>
              </w:rPr>
              <w:t>(</w:t>
            </w:r>
            <w:r>
              <w:rPr>
                <w:rFonts w:hint="eastAsia" w:ascii="Times New Roman" w:hAnsi="Times New Roman"/>
                <w:color w:val="auto"/>
                <w:sz w:val="16"/>
              </w:rPr>
              <w:t>元</w:t>
            </w:r>
            <w:r>
              <w:rPr>
                <w:rFonts w:ascii="Times New Roman" w:hAnsi="Times New Roman"/>
                <w:color w:val="auto"/>
                <w:sz w:val="16"/>
              </w:rPr>
              <w:t>/</w:t>
            </w:r>
            <w:r>
              <w:rPr>
                <w:rFonts w:hint="eastAsia" w:ascii="Times New Roman" w:hAnsi="Times New Roman"/>
                <w:color w:val="auto"/>
                <w:sz w:val="16"/>
              </w:rPr>
              <w:t>报价单位</w:t>
            </w:r>
            <w:r>
              <w:rPr>
                <w:rFonts w:ascii="Times New Roman" w:hAnsi="Times New Roman"/>
                <w:color w:val="auto"/>
                <w:sz w:val="16"/>
              </w:rPr>
              <w:t>)</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hint="eastAsia" w:ascii="Times New Roman" w:hAnsi="Times New Roman"/>
                <w:color w:val="auto"/>
                <w:sz w:val="16"/>
              </w:rPr>
              <w:t>交易金额（元）</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hint="eastAsia" w:ascii="Times New Roman" w:hAnsi="Times New Roman"/>
                <w:color w:val="auto"/>
                <w:sz w:val="16"/>
              </w:rPr>
              <w:t>期权起均日</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hint="eastAsia" w:ascii="Times New Roman" w:hAnsi="Times New Roman"/>
                <w:color w:val="auto"/>
                <w:sz w:val="16"/>
              </w:rPr>
              <w:t>期权终均日</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rPr>
            </w:pPr>
            <w:r>
              <w:rPr>
                <w:rFonts w:hint="eastAsia" w:ascii="Times New Roman" w:hAnsi="Times New Roman"/>
                <w:color w:val="auto"/>
                <w:sz w:val="16"/>
              </w:rPr>
              <w:t>交易类型</w:t>
            </w:r>
          </w:p>
        </w:tc>
        <w:tc>
          <w:tcPr>
            <w:tcW w:w="11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rPr>
            </w:pPr>
            <w:r>
              <w:rPr>
                <w:rFonts w:hint="eastAsia" w:ascii="Times New Roman" w:hAnsi="Times New Roman"/>
                <w:sz w:val="16"/>
              </w:rPr>
              <w:t>报价单位</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jc w:val="center"/>
        </w:trPr>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color w:val="auto"/>
              </w:rPr>
            </w:pPr>
            <w:r>
              <w:rPr>
                <w:rFonts w:hint="default" w:ascii="Times New Roman" w:hAnsi="Times New Roman"/>
                <w:color w:val="auto"/>
                <w:sz w:val="16"/>
                <w:szCs w:val="24"/>
              </w:rPr>
              <w:t>{{权利金}}</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color w:val="auto"/>
              </w:rPr>
            </w:pPr>
            <w:r>
              <w:rPr>
                <w:rFonts w:hint="default" w:ascii="Times New Roman" w:hAnsi="Times New Roman" w:eastAsia="宋体"/>
                <w:color w:val="auto"/>
                <w:sz w:val="16"/>
                <w:szCs w:val="24"/>
              </w:rPr>
              <w:t>{{权利金总额}}</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sz w:val="16"/>
              </w:rPr>
            </w:pPr>
            <w:r>
              <w:rPr>
                <w:rFonts w:hint="eastAsia" w:ascii="Times New Roman" w:hAnsi="Times New Roman"/>
                <w:color w:val="auto"/>
                <w:sz w:val="16"/>
                <w:lang w:val="en-US" w:eastAsia="zh-CN"/>
              </w:rPr>
              <w:t>{{</w:t>
            </w:r>
            <w:r>
              <w:rPr>
                <w:rFonts w:hint="eastAsia" w:ascii="Times New Roman" w:hAnsi="Times New Roman"/>
                <w:sz w:val="16"/>
              </w:rPr>
              <w:t>期权起均日</w:t>
            </w:r>
            <w:r>
              <w:rPr>
                <w:rFonts w:hint="eastAsia" w:ascii="Times New Roman" w:hAnsi="Times New Roman"/>
                <w:color w:val="auto"/>
                <w:sz w:val="16"/>
                <w:lang w:val="en-US" w:eastAsia="zh-CN"/>
              </w:rPr>
              <w:t>}}</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rPr>
            </w:pPr>
            <w:r>
              <w:rPr>
                <w:rFonts w:hint="eastAsia" w:ascii="Times New Roman" w:hAnsi="Times New Roman" w:eastAsia="宋体"/>
                <w:color w:val="auto"/>
                <w:sz w:val="16"/>
                <w:lang w:val="en-US" w:eastAsia="zh-CN"/>
              </w:rPr>
              <w:t>{{</w:t>
            </w:r>
            <w:r>
              <w:rPr>
                <w:rFonts w:hint="eastAsia" w:ascii="Times New Roman" w:hAnsi="Times New Roman"/>
                <w:sz w:val="16"/>
              </w:rPr>
              <w:t>期权终均日</w:t>
            </w:r>
            <w:r>
              <w:rPr>
                <w:rFonts w:hint="eastAsia" w:ascii="Times New Roman" w:hAnsi="Times New Roman" w:eastAsia="宋体"/>
                <w:color w:val="auto"/>
                <w:sz w:val="16"/>
                <w:lang w:val="en-US" w:eastAsia="zh-CN"/>
              </w:rPr>
              <w:t>}}</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rPr>
            </w:pPr>
            <w:r>
              <w:rPr>
                <w:rFonts w:ascii="Times New Roman" w:eastAsia="Times New Roman"/>
                <w:color w:val="auto"/>
                <w:sz w:val="16"/>
              </w:rPr>
              <w:t>0-</w:t>
            </w:r>
            <w:r>
              <w:rPr>
                <w:rFonts w:hint="eastAsia" w:ascii="Times New Roman" w:hAnsi="Times New Roman"/>
                <w:color w:val="auto"/>
                <w:sz w:val="16"/>
              </w:rPr>
              <w:t>开仓</w:t>
            </w:r>
          </w:p>
        </w:tc>
        <w:tc>
          <w:tcPr>
            <w:tcW w:w="11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rPr>
            </w:pPr>
            <w:r>
              <w:rPr>
                <w:rFonts w:hint="default" w:ascii="Times New Roman" w:hAnsi="Times New Roman"/>
                <w:sz w:val="16"/>
                <w:szCs w:val="24"/>
              </w:rPr>
              <w:t>{{报价单位}}</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imes New Roman" w:eastAsia="Times New Roman"/>
                <w:color w:val="auto"/>
              </w:rPr>
            </w:pPr>
          </w:p>
        </w:tc>
      </w:tr>
    </w:tbl>
    <w:p>
      <w:pPr>
        <w:rPr>
          <w:rFonts w:ascii="Times New Roman"/>
          <w:color w:val="auto"/>
        </w:rPr>
      </w:pPr>
    </w:p>
    <w:tbl>
      <w:tblPr>
        <w:tblStyle w:val="7"/>
        <w:tblW w:w="1046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362"/>
        <w:gridCol w:w="3489"/>
        <w:gridCol w:w="261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jc w:val="center"/>
        </w:trPr>
        <w:tc>
          <w:tcPr>
            <w:tcW w:w="4361"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工作日调整惯例：经调整的下一交易日</w:t>
            </w:r>
          </w:p>
        </w:tc>
        <w:tc>
          <w:tcPr>
            <w:tcW w:w="6105" w:type="dxa"/>
            <w:gridSpan w:val="2"/>
            <w:tcBorders>
              <w:top w:val="nil"/>
              <w:left w:val="nil"/>
              <w:bottom w:val="nil"/>
              <w:right w:val="nil"/>
            </w:tcBorders>
            <w:shd w:val="clear" w:color="auto" w:fill="FFFFFF"/>
          </w:tcPr>
          <w:p>
            <w:pPr>
              <w:rPr>
                <w:rFonts w:hint="eastAsia" w:ascii="Times New Roman" w:hAnsi="Times New Roman"/>
                <w:color w:val="auto"/>
                <w:sz w:val="20"/>
              </w:rPr>
            </w:pPr>
            <w:r>
              <w:rPr>
                <w:rFonts w:hint="eastAsia" w:ascii="Times New Roman" w:hAnsi="Times New Roman"/>
                <w:color w:val="auto"/>
                <w:sz w:val="20"/>
              </w:rPr>
              <w:t>实际价格=MIN(当天交易日收盘价格，增强价格）(四舍五入保留2位小数)</w:t>
            </w:r>
          </w:p>
          <w:p>
            <w:pPr>
              <w:rPr>
                <w:rFonts w:ascii="Times New Roman" w:eastAsia="Times New Roman"/>
                <w:color w:val="auto"/>
                <w:sz w:val="20"/>
              </w:rPr>
            </w:pPr>
            <w:r>
              <w:rPr>
                <w:rFonts w:hint="eastAsia" w:ascii="Times New Roman" w:hAnsi="Times New Roman"/>
                <w:color w:val="auto"/>
                <w:sz w:val="20"/>
              </w:rPr>
              <w:t>赔付单价=执行价 - 【期权起均日】(包含)至【期权终均日】(包含)期间每个交易日的【实际价格】算术平均值 (四舍五入保留2位小数)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jc w:val="center"/>
        </w:trPr>
        <w:tc>
          <w:tcPr>
            <w:tcW w:w="4361" w:type="dxa"/>
            <w:tcBorders>
              <w:top w:val="nil"/>
              <w:left w:val="nil"/>
              <w:bottom w:val="nil"/>
              <w:right w:val="nil"/>
            </w:tcBorders>
            <w:shd w:val="clear" w:color="auto" w:fill="FFFFFF"/>
          </w:tcPr>
          <w:p>
            <w:pPr>
              <w:rPr>
                <w:rFonts w:ascii="Times New Roman" w:eastAsia="Times New Roman"/>
                <w:color w:val="auto"/>
              </w:rPr>
            </w:pPr>
          </w:p>
        </w:tc>
        <w:tc>
          <w:tcPr>
            <w:tcW w:w="6105" w:type="dxa"/>
            <w:gridSpan w:val="2"/>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结算金额：赔付单价</w:t>
            </w:r>
            <w:r>
              <w:rPr>
                <w:rFonts w:ascii="Times New Roman" w:hAnsi="Times New Roman"/>
                <w:color w:val="auto"/>
                <w:sz w:val="20"/>
              </w:rPr>
              <w:t xml:space="preserve"> * </w:t>
            </w:r>
            <w:r>
              <w:rPr>
                <w:rFonts w:hint="eastAsia" w:ascii="Times New Roman" w:hAnsi="Times New Roman"/>
                <w:color w:val="auto"/>
                <w:sz w:val="20"/>
              </w:rPr>
              <w:t>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jc w:val="center"/>
        </w:trPr>
        <w:tc>
          <w:tcPr>
            <w:tcW w:w="4361"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到期结算日：</w:t>
            </w:r>
            <w:r>
              <w:rPr>
                <w:rFonts w:hint="eastAsia" w:ascii="Times New Roman" w:hAnsi="Times New Roman"/>
                <w:color w:val="auto"/>
                <w:sz w:val="20"/>
                <w:szCs w:val="24"/>
                <w:lang w:val="en-US" w:eastAsia="zh-CN"/>
              </w:rPr>
              <w:t>{{</w:t>
            </w:r>
            <w:r>
              <w:rPr>
                <w:rFonts w:hint="eastAsia" w:ascii="Times New Roman" w:hAnsi="Times New Roman"/>
                <w:color w:val="auto"/>
                <w:sz w:val="20"/>
                <w:szCs w:val="24"/>
              </w:rPr>
              <w:t>到期结算日</w:t>
            </w:r>
            <w:r>
              <w:rPr>
                <w:rFonts w:hint="eastAsia" w:ascii="Times New Roman" w:hAnsi="Times New Roman"/>
                <w:color w:val="auto"/>
                <w:sz w:val="20"/>
                <w:szCs w:val="24"/>
                <w:lang w:val="en-US" w:eastAsia="zh-CN"/>
              </w:rPr>
              <w:t>}}</w:t>
            </w:r>
          </w:p>
        </w:tc>
        <w:tc>
          <w:tcPr>
            <w:tcW w:w="3489"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结算币种：人民币</w:t>
            </w:r>
          </w:p>
        </w:tc>
        <w:tc>
          <w:tcPr>
            <w:tcW w:w="2616"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结算方式：现金结算</w:t>
            </w:r>
          </w:p>
        </w:tc>
      </w:tr>
    </w:tbl>
    <w:p>
      <w:pPr>
        <w:rPr>
          <w:rFonts w:ascii="Times New Roman" w:eastAsia="Times New Roman"/>
          <w:color w:val="auto"/>
          <w:sz w:val="20"/>
        </w:rPr>
      </w:pPr>
      <w:r>
        <w:rPr>
          <w:rFonts w:ascii="Times New Roman" w:hAnsi="Times New Roman"/>
          <w:color w:val="auto"/>
          <w:sz w:val="20"/>
        </w:rPr>
        <w:t>6</w:t>
      </w:r>
      <w:r>
        <w:rPr>
          <w:rFonts w:hint="eastAsia" w:ascii="Times New Roman" w:hAnsi="Times New Roman"/>
          <w:color w:val="auto"/>
          <w:sz w:val="20"/>
        </w:rPr>
        <w:t>、补充条款：</w:t>
      </w:r>
    </w:p>
    <w:p>
      <w:pPr>
        <w:rPr>
          <w:rFonts w:ascii="Times New Roman" w:eastAsia="Times New Roman"/>
          <w:color w:val="auto"/>
          <w:sz w:val="20"/>
        </w:rPr>
      </w:pPr>
      <w:r>
        <w:rPr>
          <w:rFonts w:hint="eastAsia" w:ascii="Times New Roman" w:hAnsi="Times New Roman"/>
          <w:color w:val="auto"/>
          <w:sz w:val="20"/>
        </w:rPr>
        <w:t>（</w:t>
      </w:r>
      <w:r>
        <w:rPr>
          <w:rFonts w:ascii="Times New Roman" w:hAnsi="Times New Roman"/>
          <w:color w:val="auto"/>
          <w:sz w:val="20"/>
        </w:rPr>
        <w:t>1</w:t>
      </w:r>
      <w:r>
        <w:rPr>
          <w:rFonts w:hint="eastAsia" w:ascii="Times New Roman" w:hAnsi="Times New Roman"/>
          <w:color w:val="auto"/>
          <w:sz w:val="20"/>
        </w:rPr>
        <w:t>）交易确认书中未约定的事项，交易双方可以本确认书之补充协议的形式予以约定。</w:t>
      </w:r>
    </w:p>
    <w:p>
      <w:pPr>
        <w:rPr>
          <w:rFonts w:ascii="Times New Roman" w:eastAsia="Times New Roman"/>
          <w:color w:val="auto"/>
          <w:sz w:val="20"/>
        </w:rPr>
      </w:pPr>
      <w:r>
        <w:rPr>
          <w:rFonts w:hint="eastAsia" w:ascii="Times New Roman" w:hAnsi="Times New Roman"/>
          <w:color w:val="auto"/>
          <w:sz w:val="20"/>
        </w:rPr>
        <w:t>（</w:t>
      </w:r>
      <w:r>
        <w:rPr>
          <w:rFonts w:ascii="Times New Roman" w:hAnsi="Times New Roman"/>
          <w:color w:val="auto"/>
          <w:sz w:val="20"/>
        </w:rPr>
        <w:t>2</w:t>
      </w:r>
      <w:r>
        <w:rPr>
          <w:rFonts w:hint="eastAsia" w:ascii="Times New Roman" w:hAnsi="Times New Roman"/>
          <w:color w:val="auto"/>
          <w:sz w:val="20"/>
        </w:rPr>
        <w:t>）双方确认办理本交易符合己方的交易目的。双方经自主和独立判断，已经完全理解本交易的条款和各种隐含风险，及其在本交易下可能出现的最差情况及最大潜在亏损，并对此具有足够的承受能力。</w:t>
      </w:r>
    </w:p>
    <w:p>
      <w:pPr>
        <w:rPr>
          <w:rFonts w:ascii="Times New Roman" w:eastAsia="Times New Roman"/>
          <w:color w:val="auto"/>
          <w:sz w:val="20"/>
        </w:rPr>
      </w:pPr>
      <w:r>
        <w:rPr>
          <w:rFonts w:hint="eastAsia" w:ascii="Times New Roman" w:hAnsi="Times New Roman"/>
          <w:color w:val="auto"/>
          <w:sz w:val="20"/>
        </w:rPr>
        <w:t>（</w:t>
      </w:r>
      <w:r>
        <w:rPr>
          <w:rFonts w:ascii="Times New Roman" w:hAnsi="Times New Roman"/>
          <w:color w:val="auto"/>
          <w:sz w:val="20"/>
        </w:rPr>
        <w:t>3</w:t>
      </w:r>
      <w:r>
        <w:rPr>
          <w:rFonts w:hint="eastAsia" w:ascii="Times New Roman" w:hAnsi="Times New Roman"/>
          <w:color w:val="auto"/>
          <w:sz w:val="20"/>
        </w:rPr>
        <w:t>）双方确认，签署本确认书的相关人员均具有合法有效授权。</w:t>
      </w:r>
    </w:p>
    <w:p>
      <w:pPr>
        <w:rPr>
          <w:rFonts w:ascii="Times New Roman" w:eastAsia="Times New Roman"/>
          <w:color w:val="auto"/>
          <w:sz w:val="20"/>
        </w:rPr>
      </w:pPr>
      <w:r>
        <w:rPr>
          <w:rFonts w:hint="eastAsia" w:ascii="Times New Roman" w:hAnsi="Times New Roman"/>
          <w:color w:val="auto"/>
          <w:sz w:val="20"/>
        </w:rPr>
        <w:t>（</w:t>
      </w:r>
      <w:r>
        <w:rPr>
          <w:rFonts w:ascii="Times New Roman" w:hAnsi="Times New Roman"/>
          <w:color w:val="auto"/>
          <w:sz w:val="20"/>
        </w:rPr>
        <w:t>4</w:t>
      </w:r>
      <w:r>
        <w:rPr>
          <w:rFonts w:hint="eastAsia" w:ascii="Times New Roman" w:hAnsi="Times New Roman"/>
          <w:color w:val="auto"/>
          <w:sz w:val="20"/>
        </w:rPr>
        <w:t>）本确认书经甲乙双方盖章后生效。双方以电子签名方式签署本确认书的，双方在机构间私募产品报价与服务系统完成在线签约，本交易确认书生效。</w:t>
      </w:r>
    </w:p>
    <w:p>
      <w:pPr>
        <w:rPr>
          <w:rFonts w:ascii="Times New Roman" w:hAnsi="Times New Roman"/>
          <w:color w:val="auto"/>
          <w:sz w:val="20"/>
        </w:rPr>
      </w:pPr>
      <w:r>
        <w:rPr>
          <w:rFonts w:hint="eastAsia" w:ascii="Times New Roman" w:hAnsi="Times New Roman"/>
          <w:color w:val="auto"/>
          <w:sz w:val="20"/>
        </w:rPr>
        <w:t>（</w:t>
      </w:r>
      <w:r>
        <w:rPr>
          <w:rFonts w:ascii="Times New Roman" w:hAnsi="Times New Roman"/>
          <w:color w:val="auto"/>
          <w:sz w:val="20"/>
        </w:rPr>
        <w:t>5</w:t>
      </w:r>
      <w:r>
        <w:rPr>
          <w:rFonts w:hint="eastAsia" w:ascii="Times New Roman" w:hAnsi="Times New Roman"/>
          <w:color w:val="auto"/>
          <w:sz w:val="20"/>
        </w:rPr>
        <w:t>）本确认书构成甲方和乙方就本交易达成的具有约束力的协议。本确认书取代在本确认书签署日期及之前就本交易而发送的任何其他交易承认或确认（如有），包括但不限于所有其他的书面确认、电话及口头确认。</w:t>
      </w:r>
    </w:p>
    <w:p>
      <w:pPr>
        <w:ind w:firstLine="100" w:firstLineChars="50"/>
        <w:rPr>
          <w:rFonts w:ascii="Times New Roman" w:hAnsi="Times New Roman"/>
          <w:color w:val="auto"/>
          <w:sz w:val="20"/>
        </w:rPr>
      </w:pPr>
      <w:r>
        <w:rPr>
          <w:rFonts w:ascii="Times New Roman" w:hAnsi="Times New Roman"/>
          <w:color w:val="auto"/>
          <w:sz w:val="20"/>
        </w:rPr>
        <w:t>(6)</w:t>
      </w:r>
      <w:r>
        <w:rPr>
          <w:rFonts w:hint="eastAsia" w:ascii="Times New Roman" w:hAnsi="Times New Roman"/>
          <w:color w:val="auto"/>
          <w:sz w:val="20"/>
        </w:rPr>
        <w:t xml:space="preserve"> 乙方如需提前终止，应通过《衍生品业务授权书》确定的联系人和联系方式提出提前终止申请，甲方有权决定是否接受提前终止申请，并有权依据诚实信用及商业合理原则计算因该等提前终止双方需结算的款项，如乙方对结算结果无异议，则需向甲方明确发出提前终止指令，甲方确认指令并执行后，则视为发生提前终止事件，并按本交易确认书约定与乙方结算。发生提前终止事件，本交易确认书对应交易头寸了结。</w:t>
      </w:r>
    </w:p>
    <w:p>
      <w:pPr>
        <w:rPr>
          <w:rFonts w:ascii="Times New Roman" w:eastAsia="Times New Roman"/>
          <w:color w:val="auto"/>
          <w:sz w:val="20"/>
        </w:rPr>
      </w:pPr>
      <w:r>
        <w:rPr>
          <w:rFonts w:hint="eastAsia" w:ascii="Times New Roman" w:hAnsi="Times New Roman"/>
          <w:color w:val="auto"/>
          <w:sz w:val="20"/>
        </w:rPr>
        <w:t>（7）本确认书一式贰份，双方各执壹份，每份具有同等法律效力。</w:t>
      </w:r>
    </w:p>
    <w:p>
      <w:pPr>
        <w:rPr>
          <w:rFonts w:ascii="Times New Roman" w:eastAsia="Times New Roman"/>
          <w:color w:val="auto"/>
          <w:sz w:val="20"/>
        </w:rPr>
      </w:pPr>
    </w:p>
    <w:tbl>
      <w:tblPr>
        <w:tblStyle w:val="7"/>
        <w:tblW w:w="10467" w:type="dxa"/>
        <w:jc w:val="center"/>
        <w:tblLayout w:type="fixed"/>
        <w:tblCellMar>
          <w:top w:w="0" w:type="dxa"/>
          <w:left w:w="0" w:type="dxa"/>
          <w:bottom w:w="0" w:type="dxa"/>
          <w:right w:w="0" w:type="dxa"/>
        </w:tblCellMar>
      </w:tblPr>
      <w:tblGrid>
        <w:gridCol w:w="5443"/>
        <w:gridCol w:w="5024"/>
      </w:tblGrid>
      <w:tr>
        <w:tblPrEx>
          <w:tblCellMar>
            <w:top w:w="0" w:type="dxa"/>
            <w:left w:w="0" w:type="dxa"/>
            <w:bottom w:w="0" w:type="dxa"/>
            <w:right w:w="0" w:type="dxa"/>
          </w:tblCellMar>
        </w:tblPrEx>
        <w:trPr>
          <w:jc w:val="center"/>
        </w:trPr>
        <w:tc>
          <w:tcPr>
            <w:tcW w:w="5442"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乙方（盖章）：</w:t>
            </w:r>
          </w:p>
        </w:tc>
        <w:tc>
          <w:tcPr>
            <w:tcW w:w="5024"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甲方（盖章）：</w:t>
            </w:r>
          </w:p>
        </w:tc>
      </w:tr>
      <w:tr>
        <w:tblPrEx>
          <w:tblCellMar>
            <w:top w:w="0" w:type="dxa"/>
            <w:left w:w="0" w:type="dxa"/>
            <w:bottom w:w="0" w:type="dxa"/>
            <w:right w:w="0" w:type="dxa"/>
          </w:tblCellMar>
        </w:tblPrEx>
        <w:trPr>
          <w:jc w:val="center"/>
        </w:trPr>
        <w:tc>
          <w:tcPr>
            <w:tcW w:w="5442"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签字：</w:t>
            </w:r>
          </w:p>
        </w:tc>
        <w:tc>
          <w:tcPr>
            <w:tcW w:w="5024"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签字：</w:t>
            </w:r>
          </w:p>
        </w:tc>
      </w:tr>
      <w:tr>
        <w:tblPrEx>
          <w:tblCellMar>
            <w:top w:w="0" w:type="dxa"/>
            <w:left w:w="0" w:type="dxa"/>
            <w:bottom w:w="0" w:type="dxa"/>
            <w:right w:w="0" w:type="dxa"/>
          </w:tblCellMar>
        </w:tblPrEx>
        <w:trPr>
          <w:jc w:val="center"/>
        </w:trPr>
        <w:tc>
          <w:tcPr>
            <w:tcW w:w="5442"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日期：</w:t>
            </w:r>
            <w:r>
              <w:rPr>
                <w:rFonts w:hint="default" w:ascii="Times New Roman" w:hAnsi="Times New Roman"/>
                <w:color w:val="auto"/>
                <w:sz w:val="20"/>
                <w:szCs w:val="24"/>
              </w:rPr>
              <w:t>{{成交日期}}</w:t>
            </w:r>
          </w:p>
        </w:tc>
        <w:tc>
          <w:tcPr>
            <w:tcW w:w="5024" w:type="dxa"/>
            <w:tcBorders>
              <w:top w:val="nil"/>
              <w:left w:val="nil"/>
              <w:bottom w:val="nil"/>
              <w:right w:val="nil"/>
            </w:tcBorders>
            <w:shd w:val="clear" w:color="auto" w:fill="FFFFFF"/>
          </w:tcPr>
          <w:p>
            <w:pPr>
              <w:rPr>
                <w:rFonts w:ascii="Times New Roman" w:eastAsia="Times New Roman"/>
                <w:color w:val="auto"/>
                <w:sz w:val="20"/>
              </w:rPr>
            </w:pPr>
            <w:r>
              <w:rPr>
                <w:rFonts w:hint="eastAsia" w:ascii="Times New Roman" w:hAnsi="Times New Roman"/>
                <w:color w:val="auto"/>
                <w:sz w:val="20"/>
              </w:rPr>
              <w:t>日期：</w:t>
            </w:r>
            <w:r>
              <w:rPr>
                <w:rFonts w:hint="default" w:ascii="Times New Roman" w:hAnsi="Times New Roman"/>
                <w:color w:val="auto"/>
                <w:sz w:val="20"/>
                <w:szCs w:val="24"/>
              </w:rPr>
              <w:t>{{成交日期}}</w:t>
            </w:r>
          </w:p>
        </w:tc>
      </w:tr>
    </w:tbl>
    <w:p/>
    <w:sectPr>
      <w:pgSz w:w="11907" w:h="16840"/>
      <w:pgMar w:top="720" w:right="720" w:bottom="720" w:left="720" w:header="720" w:footer="720" w:gutter="0"/>
      <w:paperSrc/>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720"/>
  <w:drawingGridHorizontalSpacing w:val="240"/>
  <w:drawingGridVerticalSpacing w:val="1"/>
  <w:displayHorizontalDrawingGridEvery w:val="1"/>
  <w:displayVerticalDrawingGridEvery w:val="2"/>
  <w:doNotUseMarginsForDrawingGridOrigin w:val="1"/>
  <w:drawingGridHorizontalOrigin w:val="1800"/>
  <w:drawingGridVerticalOrigin w:val="1440"/>
  <w:doNotShadeFormData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footnoteLayoutLikeWW8/>
    <w:alignTablesRowByRow/>
    <w:forgetLastTabAlignment/>
    <w:adjustLineHeightInTable/>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E3ZTYxYTk4M2JlZGUyY2U4ZTc4NTNmNWE4OTEyMzEifQ=="/>
    <w:docVar w:name="KSO_WPS_MARK_KEY" w:val="c828966c-da6d-40ec-92cc-9b0a4b157698"/>
  </w:docVars>
  <w:rsids>
    <w:rsidRoot w:val="000F7C34"/>
    <w:rsid w:val="000252C0"/>
    <w:rsid w:val="00062C2E"/>
    <w:rsid w:val="00070159"/>
    <w:rsid w:val="00075492"/>
    <w:rsid w:val="00084F46"/>
    <w:rsid w:val="000F7C34"/>
    <w:rsid w:val="001D3ABD"/>
    <w:rsid w:val="00205DCE"/>
    <w:rsid w:val="00235A24"/>
    <w:rsid w:val="002A0FFC"/>
    <w:rsid w:val="002C777E"/>
    <w:rsid w:val="0038337D"/>
    <w:rsid w:val="00387CD3"/>
    <w:rsid w:val="0040293E"/>
    <w:rsid w:val="004B751F"/>
    <w:rsid w:val="00516D71"/>
    <w:rsid w:val="00524E9F"/>
    <w:rsid w:val="00572029"/>
    <w:rsid w:val="00585519"/>
    <w:rsid w:val="006B1D4F"/>
    <w:rsid w:val="006C7757"/>
    <w:rsid w:val="006F52BC"/>
    <w:rsid w:val="00715AC6"/>
    <w:rsid w:val="007300EF"/>
    <w:rsid w:val="00755E2B"/>
    <w:rsid w:val="0076514A"/>
    <w:rsid w:val="0079100C"/>
    <w:rsid w:val="00796E3A"/>
    <w:rsid w:val="007B4FD5"/>
    <w:rsid w:val="007C506D"/>
    <w:rsid w:val="0082137D"/>
    <w:rsid w:val="009338FB"/>
    <w:rsid w:val="0096581D"/>
    <w:rsid w:val="009D79C7"/>
    <w:rsid w:val="009F63FB"/>
    <w:rsid w:val="00A76239"/>
    <w:rsid w:val="00A844FF"/>
    <w:rsid w:val="00AB60D8"/>
    <w:rsid w:val="00AE5F85"/>
    <w:rsid w:val="00B9795B"/>
    <w:rsid w:val="00BB2064"/>
    <w:rsid w:val="00BC5DE8"/>
    <w:rsid w:val="00BE24AB"/>
    <w:rsid w:val="00C06B2C"/>
    <w:rsid w:val="00C4747E"/>
    <w:rsid w:val="00C53BE9"/>
    <w:rsid w:val="00CA41FA"/>
    <w:rsid w:val="00CB4654"/>
    <w:rsid w:val="00CF1325"/>
    <w:rsid w:val="00D96397"/>
    <w:rsid w:val="00E153F3"/>
    <w:rsid w:val="00E37CB4"/>
    <w:rsid w:val="00E46E74"/>
    <w:rsid w:val="00E814F7"/>
    <w:rsid w:val="00EA360C"/>
    <w:rsid w:val="00EB0832"/>
    <w:rsid w:val="00F10413"/>
    <w:rsid w:val="00F15C19"/>
    <w:rsid w:val="00F26A3A"/>
    <w:rsid w:val="00F64A26"/>
    <w:rsid w:val="00F76D43"/>
    <w:rsid w:val="00F9730B"/>
    <w:rsid w:val="00FB15DB"/>
    <w:rsid w:val="02E77EFA"/>
    <w:rsid w:val="10B40CA5"/>
    <w:rsid w:val="1E3A6B5E"/>
    <w:rsid w:val="31C46E08"/>
    <w:rsid w:val="31D3303D"/>
    <w:rsid w:val="4D2060D7"/>
    <w:rsid w:val="6DEE5D1E"/>
    <w:rsid w:val="6E0C3DDC"/>
    <w:rsid w:val="720E798E"/>
    <w:rsid w:val="79433F2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semiHidden="0" w:name="index heading"/>
    <w:lsdException w:qFormat="1" w:uiPriority="35"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nhideWhenUsed="0" w:uiPriority="99" w:semiHidden="0" w:name="Balloon Text"/>
    <w:lsdException w:qFormat="1" w:unhideWhenUsed="0" w:uiPriority="39" w:semiHidden="0" w:name="Table Grid"/>
    <w:lsdException w:qFormat="1"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Arial" w:hAnsi="Arial" w:eastAsia="等线" w:cs="Times New Roman"/>
      <w:color w:val="000000"/>
      <w:sz w:val="24"/>
      <w:szCs w:val="24"/>
      <w:lang w:val="en-US" w:eastAsia="zh-CN" w:bidi="ar-SA"/>
    </w:rPr>
  </w:style>
  <w:style w:type="paragraph" w:styleId="2">
    <w:name w:val="heading 1"/>
    <w:basedOn w:val="1"/>
    <w:next w:val="1"/>
    <w:link w:val="9"/>
    <w:qFormat/>
    <w:uiPriority w:val="99"/>
    <w:pPr>
      <w:outlineLvl w:val="0"/>
    </w:pPr>
    <w:rPr>
      <w:b/>
      <w:sz w:val="32"/>
    </w:rPr>
  </w:style>
  <w:style w:type="paragraph" w:styleId="3">
    <w:name w:val="heading 2"/>
    <w:basedOn w:val="1"/>
    <w:next w:val="1"/>
    <w:link w:val="10"/>
    <w:qFormat/>
    <w:uiPriority w:val="99"/>
    <w:pPr>
      <w:outlineLvl w:val="1"/>
    </w:pPr>
    <w:rPr>
      <w:b/>
      <w:i/>
      <w:sz w:val="28"/>
    </w:rPr>
  </w:style>
  <w:style w:type="paragraph" w:styleId="4">
    <w:name w:val="heading 3"/>
    <w:basedOn w:val="1"/>
    <w:next w:val="1"/>
    <w:link w:val="11"/>
    <w:qFormat/>
    <w:uiPriority w:val="99"/>
    <w:pPr>
      <w:outlineLvl w:val="2"/>
    </w:pPr>
    <w:rPr>
      <w:b/>
      <w:sz w:val="2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3"/>
    <w:unhideWhenUsed/>
    <w:qFormat/>
    <w:uiPriority w:val="99"/>
    <w:pPr>
      <w:tabs>
        <w:tab w:val="center" w:pos="4153"/>
        <w:tab w:val="right" w:pos="8306"/>
      </w:tabs>
      <w:snapToGrid w:val="0"/>
    </w:pPr>
    <w:rPr>
      <w:sz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rPr>
  </w:style>
  <w:style w:type="character" w:customStyle="1" w:styleId="9">
    <w:name w:val="标题 1 字符"/>
    <w:link w:val="2"/>
    <w:unhideWhenUsed/>
    <w:qFormat/>
    <w:locked/>
    <w:uiPriority w:val="9"/>
    <w:rPr>
      <w:rFonts w:ascii="Arial" w:cs="Times New Roman"/>
      <w:b/>
      <w:color w:val="000000"/>
      <w:kern w:val="44"/>
      <w:sz w:val="44"/>
    </w:rPr>
  </w:style>
  <w:style w:type="character" w:customStyle="1" w:styleId="10">
    <w:name w:val="标题 2 字符"/>
    <w:link w:val="3"/>
    <w:unhideWhenUsed/>
    <w:qFormat/>
    <w:locked/>
    <w:uiPriority w:val="9"/>
    <w:rPr>
      <w:rFonts w:ascii="等线 Light" w:hAnsi="等线 Light" w:eastAsia="等线 Light" w:cs="Times New Roman"/>
      <w:b/>
      <w:color w:val="000000"/>
      <w:sz w:val="32"/>
    </w:rPr>
  </w:style>
  <w:style w:type="character" w:customStyle="1" w:styleId="11">
    <w:name w:val="标题 3 字符"/>
    <w:link w:val="4"/>
    <w:unhideWhenUsed/>
    <w:qFormat/>
    <w:locked/>
    <w:uiPriority w:val="9"/>
    <w:rPr>
      <w:rFonts w:ascii="Arial" w:cs="Times New Roman"/>
      <w:b/>
      <w:color w:val="000000"/>
      <w:sz w:val="32"/>
    </w:rPr>
  </w:style>
  <w:style w:type="character" w:customStyle="1" w:styleId="12">
    <w:name w:val="页眉 字符"/>
    <w:link w:val="6"/>
    <w:unhideWhenUsed/>
    <w:qFormat/>
    <w:locked/>
    <w:uiPriority w:val="99"/>
    <w:rPr>
      <w:rFonts w:ascii="Arial" w:cs="Times New Roman"/>
      <w:color w:val="000000"/>
      <w:sz w:val="18"/>
    </w:rPr>
  </w:style>
  <w:style w:type="character" w:customStyle="1" w:styleId="13">
    <w:name w:val="页脚 字符"/>
    <w:link w:val="5"/>
    <w:unhideWhenUsed/>
    <w:qFormat/>
    <w:locked/>
    <w:uiPriority w:val="99"/>
    <w:rPr>
      <w:rFonts w:ascii="Arial" w:cs="Times New Roman"/>
      <w:color w:val="000000"/>
      <w:sz w:val="18"/>
    </w:rPr>
  </w:style>
  <w:style w:type="character" w:customStyle="1" w:styleId="14">
    <w:name w:val="页眉 字符1"/>
    <w:semiHidden/>
    <w:qFormat/>
    <w:uiPriority w:val="99"/>
    <w:rPr>
      <w:rFonts w:ascii="Arial" w:hAnsi="Arial" w:eastAsia="等线"/>
      <w:color w:val="000000"/>
      <w:kern w:val="0"/>
      <w:sz w:val="18"/>
      <w:szCs w:val="18"/>
    </w:rPr>
  </w:style>
  <w:style w:type="character" w:customStyle="1" w:styleId="15">
    <w:name w:val="页眉 字符18"/>
    <w:semiHidden/>
    <w:qFormat/>
    <w:uiPriority w:val="99"/>
    <w:rPr>
      <w:rFonts w:ascii="Arial" w:hAnsi="Arial" w:eastAsia="等线" w:cs="Times New Roman"/>
      <w:color w:val="000000"/>
      <w:kern w:val="0"/>
      <w:sz w:val="18"/>
      <w:szCs w:val="18"/>
    </w:rPr>
  </w:style>
  <w:style w:type="character" w:customStyle="1" w:styleId="16">
    <w:name w:val="页眉 字符17"/>
    <w:semiHidden/>
    <w:qFormat/>
    <w:uiPriority w:val="99"/>
    <w:rPr>
      <w:rFonts w:ascii="Arial" w:hAnsi="Arial" w:eastAsia="等线" w:cs="Times New Roman"/>
      <w:color w:val="000000"/>
      <w:kern w:val="0"/>
      <w:sz w:val="18"/>
      <w:szCs w:val="18"/>
    </w:rPr>
  </w:style>
  <w:style w:type="character" w:customStyle="1" w:styleId="17">
    <w:name w:val="页眉 字符16"/>
    <w:semiHidden/>
    <w:qFormat/>
    <w:uiPriority w:val="99"/>
    <w:rPr>
      <w:rFonts w:ascii="Arial" w:hAnsi="Arial" w:eastAsia="等线" w:cs="Times New Roman"/>
      <w:color w:val="000000"/>
      <w:kern w:val="0"/>
      <w:sz w:val="18"/>
      <w:szCs w:val="18"/>
    </w:rPr>
  </w:style>
  <w:style w:type="character" w:customStyle="1" w:styleId="18">
    <w:name w:val="页眉 字符15"/>
    <w:semiHidden/>
    <w:qFormat/>
    <w:uiPriority w:val="99"/>
    <w:rPr>
      <w:rFonts w:ascii="Arial" w:hAnsi="Arial" w:eastAsia="等线" w:cs="Times New Roman"/>
      <w:color w:val="000000"/>
      <w:kern w:val="0"/>
      <w:sz w:val="18"/>
      <w:szCs w:val="18"/>
    </w:rPr>
  </w:style>
  <w:style w:type="character" w:customStyle="1" w:styleId="19">
    <w:name w:val="页眉 字符14"/>
    <w:semiHidden/>
    <w:qFormat/>
    <w:uiPriority w:val="99"/>
    <w:rPr>
      <w:rFonts w:ascii="Arial" w:hAnsi="Arial" w:eastAsia="等线" w:cs="Times New Roman"/>
      <w:color w:val="000000"/>
      <w:kern w:val="0"/>
      <w:sz w:val="18"/>
      <w:szCs w:val="18"/>
    </w:rPr>
  </w:style>
  <w:style w:type="character" w:customStyle="1" w:styleId="20">
    <w:name w:val="页眉 字符13"/>
    <w:semiHidden/>
    <w:qFormat/>
    <w:uiPriority w:val="99"/>
    <w:rPr>
      <w:rFonts w:ascii="Arial" w:hAnsi="Arial" w:eastAsia="等线" w:cs="Times New Roman"/>
      <w:color w:val="000000"/>
      <w:kern w:val="0"/>
      <w:sz w:val="18"/>
      <w:szCs w:val="18"/>
    </w:rPr>
  </w:style>
  <w:style w:type="character" w:customStyle="1" w:styleId="21">
    <w:name w:val="页眉 字符12"/>
    <w:semiHidden/>
    <w:qFormat/>
    <w:uiPriority w:val="99"/>
    <w:rPr>
      <w:rFonts w:ascii="Arial" w:hAnsi="Arial" w:eastAsia="等线" w:cs="Times New Roman"/>
      <w:color w:val="000000"/>
      <w:kern w:val="0"/>
      <w:sz w:val="18"/>
      <w:szCs w:val="18"/>
    </w:rPr>
  </w:style>
  <w:style w:type="character" w:customStyle="1" w:styleId="22">
    <w:name w:val="页眉 字符11"/>
    <w:semiHidden/>
    <w:qFormat/>
    <w:uiPriority w:val="99"/>
    <w:rPr>
      <w:rFonts w:ascii="Arial" w:hAnsi="Arial" w:eastAsia="等线" w:cs="Times New Roman"/>
      <w:color w:val="000000"/>
      <w:kern w:val="0"/>
      <w:sz w:val="18"/>
      <w:szCs w:val="18"/>
    </w:rPr>
  </w:style>
  <w:style w:type="character" w:customStyle="1" w:styleId="23">
    <w:name w:val="页脚 字符1"/>
    <w:semiHidden/>
    <w:qFormat/>
    <w:uiPriority w:val="99"/>
    <w:rPr>
      <w:rFonts w:ascii="Arial" w:hAnsi="Arial" w:eastAsia="等线"/>
      <w:color w:val="000000"/>
      <w:kern w:val="0"/>
      <w:sz w:val="18"/>
      <w:szCs w:val="18"/>
    </w:rPr>
  </w:style>
  <w:style w:type="character" w:customStyle="1" w:styleId="24">
    <w:name w:val="页脚 字符18"/>
    <w:semiHidden/>
    <w:qFormat/>
    <w:uiPriority w:val="99"/>
    <w:rPr>
      <w:rFonts w:ascii="Arial" w:hAnsi="Arial" w:eastAsia="等线" w:cs="Times New Roman"/>
      <w:color w:val="000000"/>
      <w:kern w:val="0"/>
      <w:sz w:val="18"/>
      <w:szCs w:val="18"/>
    </w:rPr>
  </w:style>
  <w:style w:type="character" w:customStyle="1" w:styleId="25">
    <w:name w:val="页脚 字符17"/>
    <w:semiHidden/>
    <w:qFormat/>
    <w:uiPriority w:val="99"/>
    <w:rPr>
      <w:rFonts w:ascii="Arial" w:hAnsi="Arial" w:eastAsia="等线" w:cs="Times New Roman"/>
      <w:color w:val="000000"/>
      <w:kern w:val="0"/>
      <w:sz w:val="18"/>
      <w:szCs w:val="18"/>
    </w:rPr>
  </w:style>
  <w:style w:type="character" w:customStyle="1" w:styleId="26">
    <w:name w:val="页脚 字符16"/>
    <w:semiHidden/>
    <w:qFormat/>
    <w:uiPriority w:val="99"/>
    <w:rPr>
      <w:rFonts w:ascii="Arial" w:hAnsi="Arial" w:eastAsia="等线" w:cs="Times New Roman"/>
      <w:color w:val="000000"/>
      <w:kern w:val="0"/>
      <w:sz w:val="18"/>
      <w:szCs w:val="18"/>
    </w:rPr>
  </w:style>
  <w:style w:type="character" w:customStyle="1" w:styleId="27">
    <w:name w:val="页脚 字符15"/>
    <w:semiHidden/>
    <w:qFormat/>
    <w:uiPriority w:val="99"/>
    <w:rPr>
      <w:rFonts w:ascii="Arial" w:hAnsi="Arial" w:eastAsia="等线" w:cs="Times New Roman"/>
      <w:color w:val="000000"/>
      <w:kern w:val="0"/>
      <w:sz w:val="18"/>
      <w:szCs w:val="18"/>
    </w:rPr>
  </w:style>
  <w:style w:type="character" w:customStyle="1" w:styleId="28">
    <w:name w:val="页脚 字符14"/>
    <w:semiHidden/>
    <w:qFormat/>
    <w:uiPriority w:val="99"/>
    <w:rPr>
      <w:rFonts w:ascii="Arial" w:hAnsi="Arial" w:eastAsia="等线" w:cs="Times New Roman"/>
      <w:color w:val="000000"/>
      <w:kern w:val="0"/>
      <w:sz w:val="18"/>
      <w:szCs w:val="18"/>
    </w:rPr>
  </w:style>
  <w:style w:type="character" w:customStyle="1" w:styleId="29">
    <w:name w:val="页脚 字符13"/>
    <w:semiHidden/>
    <w:qFormat/>
    <w:uiPriority w:val="99"/>
    <w:rPr>
      <w:rFonts w:ascii="Arial" w:hAnsi="Arial" w:eastAsia="等线" w:cs="Times New Roman"/>
      <w:color w:val="000000"/>
      <w:kern w:val="0"/>
      <w:sz w:val="18"/>
      <w:szCs w:val="18"/>
    </w:rPr>
  </w:style>
  <w:style w:type="character" w:customStyle="1" w:styleId="30">
    <w:name w:val="页脚 字符12"/>
    <w:semiHidden/>
    <w:qFormat/>
    <w:uiPriority w:val="99"/>
    <w:rPr>
      <w:rFonts w:ascii="Arial" w:hAnsi="Arial" w:eastAsia="等线" w:cs="Times New Roman"/>
      <w:color w:val="000000"/>
      <w:kern w:val="0"/>
      <w:sz w:val="18"/>
      <w:szCs w:val="18"/>
    </w:rPr>
  </w:style>
  <w:style w:type="character" w:customStyle="1" w:styleId="31">
    <w:name w:val="页脚 字符11"/>
    <w:semiHidden/>
    <w:qFormat/>
    <w:uiPriority w:val="99"/>
    <w:rPr>
      <w:rFonts w:ascii="Arial" w:hAnsi="Arial" w:eastAsia="等线" w:cs="Times New Roman"/>
      <w:color w:val="000000"/>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1418</Words>
  <Characters>1515</Characters>
  <Lines>11</Lines>
  <Paragraphs>3</Paragraphs>
  <TotalTime>0</TotalTime>
  <ScaleCrop>false</ScaleCrop>
  <LinksUpToDate>false</LinksUpToDate>
  <CharactersWithSpaces>1523</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2021-06-30T01:32:00Z</dcterms:created>
  <dc:creator>gxjy-201109</dc:creator>
  <cp:lastModifiedBy>LIUFJ</cp:lastModifiedBy>
  <cp:lastPrinted>2021-11-11T01:40:00Z</cp:lastPrinted>
  <dcterms:modified xsi:type="dcterms:W3CDTF">2023-01-08T09:11:11Z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62669AE64D874C9898F79B83127B30B7</vt:lpwstr>
  </property>
</Properties>
</file>