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宋体" w:hAnsi="宋体"/>
          <w:sz w:val="24"/>
          <w:szCs w:val="24"/>
        </w:rPr>
      </w:pPr>
      <w:r>
        <w:rPr>
          <w:rFonts w:hint="eastAsia" w:ascii="宋体" w:hAnsi="宋体"/>
          <w:sz w:val="24"/>
          <w:szCs w:val="24"/>
        </w:rPr>
        <w:t>编号：{{合同编号}}</w:t>
      </w:r>
    </w:p>
    <w:p>
      <w:pPr>
        <w:jc w:val="center"/>
        <w:rPr>
          <w:rFonts w:ascii="宋体" w:hAnsi="宋体"/>
          <w:b/>
          <w:sz w:val="30"/>
          <w:szCs w:val="30"/>
        </w:rPr>
      </w:pPr>
    </w:p>
    <w:p>
      <w:pPr>
        <w:jc w:val="center"/>
        <w:rPr>
          <w:rFonts w:ascii="宋体" w:hAnsi="宋体"/>
          <w:b/>
          <w:sz w:val="30"/>
          <w:szCs w:val="30"/>
        </w:rPr>
      </w:pPr>
      <w:r>
        <w:rPr>
          <w:rFonts w:hint="eastAsia" w:ascii="宋体" w:hAnsi="宋体"/>
          <w:b/>
          <w:sz w:val="30"/>
          <w:szCs w:val="30"/>
        </w:rPr>
        <w:t>{{公司名称}}金融衍生品</w:t>
      </w:r>
      <w:r>
        <w:rPr>
          <w:rFonts w:ascii="宋体" w:hAnsi="宋体"/>
          <w:b/>
          <w:sz w:val="30"/>
          <w:szCs w:val="30"/>
        </w:rPr>
        <w:t>交易确认书</w:t>
      </w:r>
    </w:p>
    <w:p>
      <w:pPr>
        <w:spacing w:line="360" w:lineRule="auto"/>
        <w:ind w:firstLine="480" w:firstLineChars="200"/>
        <w:rPr>
          <w:rFonts w:ascii="宋体" w:hAnsi="宋体"/>
          <w:sz w:val="24"/>
        </w:rPr>
      </w:pPr>
    </w:p>
    <w:p>
      <w:pPr>
        <w:spacing w:line="360" w:lineRule="auto"/>
        <w:ind w:right="600"/>
        <w:jc w:val="left"/>
        <w:rPr>
          <w:rFonts w:ascii="宋体" w:hAnsi="宋体"/>
          <w:sz w:val="24"/>
          <w:szCs w:val="24"/>
        </w:rPr>
      </w:pPr>
      <w:r>
        <w:rPr>
          <w:rFonts w:ascii="宋体" w:hAnsi="宋体"/>
          <w:b/>
          <w:sz w:val="24"/>
          <w:szCs w:val="24"/>
        </w:rPr>
        <w:t>甲方</w:t>
      </w:r>
      <w:r>
        <w:rPr>
          <w:rFonts w:ascii="宋体" w:hAnsi="宋体"/>
          <w:sz w:val="24"/>
          <w:szCs w:val="24"/>
        </w:rPr>
        <w:t>：</w:t>
      </w:r>
      <w:r>
        <w:rPr>
          <w:rFonts w:hint="eastAsia" w:ascii="宋体" w:hAnsi="宋体"/>
          <w:sz w:val="24"/>
          <w:szCs w:val="24"/>
        </w:rPr>
        <w:t>{{甲方}}</w:t>
      </w:r>
    </w:p>
    <w:p>
      <w:pPr>
        <w:spacing w:line="360" w:lineRule="auto"/>
        <w:ind w:right="600"/>
        <w:jc w:val="left"/>
        <w:rPr>
          <w:rFonts w:ascii="宋体" w:hAnsi="宋体"/>
          <w:sz w:val="24"/>
          <w:szCs w:val="24"/>
        </w:rPr>
      </w:pPr>
      <w:r>
        <w:rPr>
          <w:rFonts w:ascii="宋体" w:hAnsi="宋体"/>
          <w:sz w:val="24"/>
          <w:szCs w:val="24"/>
        </w:rPr>
        <w:t>法定代表人：</w:t>
      </w:r>
      <w:r>
        <w:rPr>
          <w:rFonts w:hint="eastAsia" w:ascii="宋体" w:hAnsi="宋体"/>
          <w:sz w:val="24"/>
          <w:szCs w:val="24"/>
        </w:rPr>
        <w:t>{{甲方法人}}</w:t>
      </w:r>
    </w:p>
    <w:p>
      <w:pPr>
        <w:spacing w:line="360" w:lineRule="auto"/>
        <w:ind w:right="600"/>
        <w:jc w:val="left"/>
        <w:rPr>
          <w:rFonts w:ascii="宋体" w:hAnsi="宋体"/>
          <w:sz w:val="24"/>
          <w:szCs w:val="24"/>
        </w:rPr>
      </w:pPr>
      <w:r>
        <w:rPr>
          <w:rFonts w:ascii="宋体" w:hAnsi="宋体"/>
          <w:sz w:val="24"/>
          <w:szCs w:val="24"/>
        </w:rPr>
        <w:t>营业执照注册号：</w:t>
      </w:r>
      <w:r>
        <w:rPr>
          <w:rFonts w:hint="eastAsia" w:ascii="宋体" w:hAnsi="宋体"/>
          <w:sz w:val="24"/>
          <w:szCs w:val="24"/>
        </w:rPr>
        <w:t>{{甲方营业执照}}</w:t>
      </w:r>
    </w:p>
    <w:p>
      <w:pPr>
        <w:spacing w:line="288" w:lineRule="auto"/>
        <w:ind w:right="600"/>
        <w:jc w:val="left"/>
        <w:rPr>
          <w:rFonts w:ascii="宋体" w:hAnsi="宋体"/>
          <w:sz w:val="24"/>
          <w:szCs w:val="24"/>
        </w:rPr>
      </w:pPr>
      <w:r>
        <w:rPr>
          <w:rFonts w:ascii="宋体" w:hAnsi="宋体"/>
          <w:sz w:val="24"/>
          <w:szCs w:val="24"/>
        </w:rPr>
        <w:t>注册地址：</w:t>
      </w:r>
      <w:r>
        <w:rPr>
          <w:rFonts w:hint="eastAsia" w:ascii="宋体" w:hAnsi="宋体"/>
          <w:sz w:val="24"/>
          <w:szCs w:val="24"/>
        </w:rPr>
        <w:t>{{甲方注册地址}}</w:t>
      </w:r>
    </w:p>
    <w:p>
      <w:pPr>
        <w:spacing w:line="288" w:lineRule="auto"/>
        <w:ind w:right="600"/>
        <w:jc w:val="left"/>
        <w:rPr>
          <w:rFonts w:ascii="宋体" w:hAnsi="宋体"/>
          <w:sz w:val="24"/>
          <w:szCs w:val="24"/>
        </w:rPr>
      </w:pPr>
    </w:p>
    <w:p>
      <w:pPr>
        <w:spacing w:line="360" w:lineRule="auto"/>
        <w:ind w:right="600"/>
        <w:jc w:val="left"/>
        <w:rPr>
          <w:rFonts w:ascii="Times New Roman" w:hAnsi="Times New Roman"/>
          <w:b/>
          <w:bCs/>
          <w:sz w:val="24"/>
          <w:szCs w:val="24"/>
        </w:rPr>
      </w:pPr>
      <w:r>
        <w:rPr>
          <w:rFonts w:hint="eastAsia" w:ascii="Times New Roman" w:hAnsi="Times New Roman"/>
          <w:b/>
          <w:bCs/>
          <w:sz w:val="24"/>
          <w:szCs w:val="24"/>
        </w:rPr>
        <w:t>乙方：{{乙方}}</w:t>
      </w:r>
    </w:p>
    <w:p>
      <w:pPr>
        <w:spacing w:line="360" w:lineRule="auto"/>
        <w:ind w:right="600"/>
        <w:jc w:val="left"/>
        <w:rPr>
          <w:rFonts w:ascii="Times New Roman" w:hAnsi="Times New Roman"/>
          <w:bCs/>
          <w:sz w:val="24"/>
          <w:szCs w:val="24"/>
        </w:rPr>
      </w:pPr>
      <w:r>
        <w:rPr>
          <w:rFonts w:hint="eastAsia" w:ascii="Times New Roman" w:hAnsi="Times New Roman"/>
          <w:bCs/>
          <w:sz w:val="24"/>
          <w:szCs w:val="24"/>
        </w:rPr>
        <w:t>法定代表人：{{乙方法人}}</w:t>
      </w:r>
    </w:p>
    <w:p>
      <w:pPr>
        <w:spacing w:line="360" w:lineRule="auto"/>
        <w:ind w:right="600"/>
        <w:jc w:val="left"/>
        <w:rPr>
          <w:rFonts w:ascii="Times New Roman" w:hAnsi="Times New Roman"/>
          <w:bCs/>
          <w:sz w:val="24"/>
          <w:szCs w:val="24"/>
        </w:rPr>
      </w:pPr>
      <w:r>
        <w:rPr>
          <w:rFonts w:hint="eastAsia" w:ascii="Times New Roman" w:hAnsi="Times New Roman"/>
          <w:bCs/>
          <w:sz w:val="24"/>
          <w:szCs w:val="24"/>
        </w:rPr>
        <w:t>营业执照注册号：{{乙方营业执照}}</w:t>
      </w:r>
    </w:p>
    <w:p>
      <w:pPr>
        <w:spacing w:line="360" w:lineRule="auto"/>
        <w:ind w:right="600"/>
        <w:jc w:val="left"/>
        <w:rPr>
          <w:rFonts w:ascii="Times New Roman" w:hAnsi="Times New Roman"/>
          <w:bCs/>
          <w:sz w:val="24"/>
          <w:szCs w:val="24"/>
        </w:rPr>
      </w:pPr>
      <w:r>
        <w:rPr>
          <w:rFonts w:hint="eastAsia" w:ascii="Times New Roman" w:hAnsi="Times New Roman"/>
          <w:bCs/>
          <w:sz w:val="24"/>
          <w:szCs w:val="24"/>
        </w:rPr>
        <w:t>注册地址：{{乙方注册地址}}</w:t>
      </w:r>
    </w:p>
    <w:p>
      <w:pPr>
        <w:spacing w:line="360" w:lineRule="auto"/>
        <w:ind w:right="600"/>
        <w:jc w:val="left"/>
        <w:rPr>
          <w:rFonts w:ascii="宋体" w:hAnsi="宋体"/>
          <w:sz w:val="24"/>
          <w:szCs w:val="24"/>
        </w:rPr>
      </w:pPr>
    </w:p>
    <w:p>
      <w:pPr>
        <w:spacing w:line="360" w:lineRule="auto"/>
        <w:ind w:firstLine="480" w:firstLineChars="200"/>
        <w:rPr>
          <w:rFonts w:ascii="Arial" w:hAnsi="Arial" w:cs="Arial" w:eastAsiaTheme="minorEastAsia"/>
          <w:sz w:val="24"/>
          <w:szCs w:val="24"/>
        </w:rPr>
      </w:pPr>
      <w:r>
        <w:rPr>
          <w:rFonts w:hint="eastAsia" w:ascii="Arial" w:hAnsi="Arial" w:cs="Arial" w:eastAsiaTheme="minorEastAsia"/>
          <w:sz w:val="24"/>
          <w:szCs w:val="24"/>
        </w:rPr>
        <w:t>根据双方已订立的《中国证券期货市场衍生品交易主协议》（以下统称为“主协议”，协议编号：{{主协议}}）及《&lt;中国证券期货市场衍生品交易主协议&gt;补充协议》（以下统称为“补充协议”，协议编号：{{补充协议}})的约定，甲乙双方协商一致，达成本次金融衍生品交易确认书（以下简称“本确认书”）。</w:t>
      </w:r>
    </w:p>
    <w:p>
      <w:pPr>
        <w:spacing w:line="360" w:lineRule="auto"/>
        <w:ind w:firstLine="480" w:firstLineChars="200"/>
        <w:rPr>
          <w:rFonts w:ascii="Arial" w:hAnsi="Arial" w:cs="Arial" w:eastAsiaTheme="minorEastAsia"/>
          <w:sz w:val="24"/>
          <w:szCs w:val="24"/>
        </w:rPr>
      </w:pPr>
      <w:r>
        <w:rPr>
          <w:rFonts w:hint="eastAsia" w:ascii="Arial" w:hAnsi="Arial" w:cs="Arial" w:eastAsiaTheme="minorEastAsia"/>
          <w:sz w:val="24"/>
          <w:szCs w:val="24"/>
        </w:rPr>
        <w:t>本确认书旨在确认交易双方达成的金融衍生品交易的条款和条件，与主协议、补充协议共同构成甲、乙双方之间单一和完整的协议。作为主协议的组成部分，主协议和补充协议中的全部条款适用于本确认书，若本交易确认书与主协议或补充协议的规定有任何不一致，本交易确认书有优先效力。本交易确认书未作约定的事项应遵从主协议、补充协议的约定。</w:t>
      </w:r>
    </w:p>
    <w:p>
      <w:pPr>
        <w:spacing w:line="360" w:lineRule="auto"/>
        <w:ind w:firstLine="480" w:firstLineChars="200"/>
        <w:rPr>
          <w:rFonts w:ascii="Arial" w:hAnsi="Arial" w:cs="Arial" w:eastAsiaTheme="minorEastAsia"/>
          <w:sz w:val="24"/>
          <w:szCs w:val="24"/>
        </w:rPr>
      </w:pPr>
      <w:r>
        <w:rPr>
          <w:rFonts w:hint="eastAsia" w:ascii="Arial" w:hAnsi="Arial" w:cs="Arial" w:eastAsiaTheme="minorEastAsia"/>
          <w:sz w:val="24"/>
          <w:szCs w:val="24"/>
        </w:rPr>
        <w:t>在本确认书中出现的未定义的术语，其定义见于主协议、补充协议或中国证券期货市场场外衍生品交易权益类衍生品定义文件（2014年版）。交易双方同意，本确认书所述条款对交易双方具有完整性和约束力。</w:t>
      </w:r>
    </w:p>
    <w:p>
      <w:pPr>
        <w:spacing w:line="360" w:lineRule="auto"/>
        <w:ind w:firstLine="480" w:firstLineChars="200"/>
        <w:rPr>
          <w:rFonts w:ascii="Arial" w:hAnsi="Arial" w:cs="Arial" w:eastAsiaTheme="minorEastAsia"/>
          <w:sz w:val="24"/>
          <w:szCs w:val="24"/>
        </w:rPr>
      </w:pPr>
    </w:p>
    <w:p>
      <w:pPr>
        <w:spacing w:line="360" w:lineRule="auto"/>
        <w:rPr>
          <w:rFonts w:ascii="宋体" w:hAnsi="宋体"/>
          <w:b/>
          <w:sz w:val="24"/>
          <w:szCs w:val="24"/>
        </w:rPr>
      </w:pPr>
      <w:r>
        <w:rPr>
          <w:rFonts w:hint="eastAsia" w:ascii="宋体" w:hAnsi="宋体"/>
          <w:b/>
          <w:sz w:val="24"/>
          <w:szCs w:val="24"/>
        </w:rPr>
        <w:t>一、</w:t>
      </w:r>
      <w:r>
        <w:rPr>
          <w:rFonts w:ascii="宋体" w:hAnsi="宋体"/>
          <w:b/>
          <w:sz w:val="24"/>
          <w:szCs w:val="24"/>
        </w:rPr>
        <w:t>交易条款</w:t>
      </w:r>
    </w:p>
    <w:p>
      <w:pPr>
        <w:numPr>
          <w:ilvl w:val="0"/>
          <w:numId w:val="1"/>
        </w:numPr>
        <w:spacing w:line="360" w:lineRule="auto"/>
        <w:rPr>
          <w:rFonts w:ascii="宋体" w:hAnsi="宋体"/>
          <w:sz w:val="24"/>
          <w:szCs w:val="24"/>
        </w:rPr>
      </w:pPr>
      <w:r>
        <w:rPr>
          <w:rFonts w:hint="eastAsia" w:ascii="宋体" w:hAnsi="宋体"/>
          <w:sz w:val="24"/>
          <w:szCs w:val="24"/>
        </w:rPr>
        <w:t>基本</w:t>
      </w:r>
      <w:r>
        <w:rPr>
          <w:rFonts w:ascii="宋体" w:hAnsi="宋体"/>
          <w:sz w:val="24"/>
          <w:szCs w:val="24"/>
        </w:rPr>
        <w:t>条款</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6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币种</w:t>
            </w:r>
          </w:p>
        </w:tc>
        <w:tc>
          <w:tcPr>
            <w:tcW w:w="6400" w:type="dxa"/>
          </w:tcPr>
          <w:p>
            <w:pPr>
              <w:rPr>
                <w:rFonts w:ascii="宋体" w:hAnsi="宋体"/>
                <w:sz w:val="24"/>
                <w:szCs w:val="24"/>
              </w:rPr>
            </w:pPr>
            <w:r>
              <w:rPr>
                <w:rFonts w:hint="eastAsia" w:ascii="宋体" w:hAnsi="宋体"/>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名义本金额</w:t>
            </w:r>
          </w:p>
        </w:tc>
        <w:tc>
          <w:tcPr>
            <w:tcW w:w="6400" w:type="dxa"/>
          </w:tcPr>
          <w:p>
            <w:pPr>
              <w:widowControl/>
              <w:rPr>
                <w:rFonts w:ascii="宋体" w:hAnsi="宋体"/>
                <w:color w:val="000000"/>
                <w:kern w:val="0"/>
                <w:sz w:val="22"/>
              </w:rPr>
            </w:pPr>
            <w:r>
              <w:rPr>
                <w:rFonts w:hint="eastAsia" w:ascii="宋体" w:hAnsi="宋体"/>
                <w:sz w:val="24"/>
                <w:szCs w:val="24"/>
              </w:rPr>
              <w:t>{{名义本金}}元</w:t>
            </w:r>
            <w:r>
              <w:rPr>
                <w:rStyle w:val="15"/>
                <w:rFonts w:ascii="宋体" w:hAnsi="宋体"/>
                <w:sz w:val="24"/>
                <w:szCs w:val="24"/>
              </w:rPr>
              <w:footnote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标的</w:t>
            </w:r>
          </w:p>
        </w:tc>
        <w:tc>
          <w:tcPr>
            <w:tcW w:w="6400" w:type="dxa"/>
          </w:tcPr>
          <w:p>
            <w:pPr>
              <w:rPr>
                <w:rFonts w:ascii="宋体" w:hAnsi="宋体"/>
                <w:color w:val="FFFFFF"/>
                <w:sz w:val="24"/>
                <w:szCs w:val="24"/>
              </w:rPr>
            </w:pPr>
            <w:r>
              <w:rPr>
                <w:rFonts w:hint="eastAsia" w:ascii="宋体" w:hAnsi="宋体"/>
                <w:color w:val="000000" w:themeColor="text1"/>
                <w:sz w:val="24"/>
                <w:szCs w:val="24"/>
                <w14:textFill>
                  <w14:solidFill>
                    <w14:schemeClr w14:val="tx1"/>
                  </w14:solidFill>
                </w14:textFill>
              </w:rPr>
              <w:t>{{标的名称}}（</w:t>
            </w:r>
            <w:r>
              <w:rPr>
                <w:rFonts w:hint="eastAsia" w:ascii="宋体" w:hAnsi="宋体"/>
                <w:sz w:val="24"/>
                <w:szCs w:val="24"/>
              </w:rPr>
              <w:t>代码：{{标的代码}}</w:t>
            </w:r>
            <w:r>
              <w:rPr>
                <w:rFonts w:hint="eastAsia" w:ascii="宋体" w:hAnsi="宋体"/>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交易期限</w:t>
            </w:r>
          </w:p>
        </w:tc>
        <w:tc>
          <w:tcPr>
            <w:tcW w:w="6400" w:type="dxa"/>
          </w:tcPr>
          <w:p>
            <w:pPr>
              <w:rPr>
                <w:rFonts w:ascii="宋体" w:hAnsi="宋体"/>
                <w:sz w:val="24"/>
                <w:szCs w:val="24"/>
              </w:rPr>
            </w:pPr>
            <w:r>
              <w:rPr>
                <w:rFonts w:hint="eastAsia" w:ascii="宋体" w:hAnsi="宋体"/>
                <w:sz w:val="24"/>
                <w:szCs w:val="24"/>
              </w:rPr>
              <w:t>{{天数}}天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年度计息基数</w:t>
            </w:r>
          </w:p>
        </w:tc>
        <w:tc>
          <w:tcPr>
            <w:tcW w:w="6400" w:type="dxa"/>
          </w:tcPr>
          <w:p>
            <w:pPr>
              <w:rPr>
                <w:rFonts w:ascii="宋体" w:hAnsi="宋体"/>
                <w:sz w:val="24"/>
                <w:szCs w:val="24"/>
              </w:rPr>
            </w:pPr>
            <w:r>
              <w:rPr>
                <w:rFonts w:hint="eastAsia" w:ascii="宋体" w:hAnsi="宋体"/>
                <w:sz w:val="24"/>
                <w:szCs w:val="24"/>
              </w:rPr>
              <w:t>365 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起始日</w:t>
            </w:r>
          </w:p>
        </w:tc>
        <w:tc>
          <w:tcPr>
            <w:tcW w:w="6400" w:type="dxa"/>
          </w:tcPr>
          <w:p>
            <w:pPr>
              <w:rPr>
                <w:rFonts w:ascii="宋体" w:hAnsi="宋体"/>
                <w:sz w:val="24"/>
                <w:szCs w:val="24"/>
              </w:rPr>
            </w:pPr>
            <w:r>
              <w:rPr>
                <w:rFonts w:hint="eastAsia" w:ascii="宋体" w:hAnsi="宋体"/>
                <w:sz w:val="24"/>
                <w:szCs w:val="24"/>
              </w:rPr>
              <w:t>{{交易日}}，</w:t>
            </w:r>
            <w:r>
              <w:rPr>
                <w:rFonts w:ascii="宋体" w:hAnsi="宋体"/>
                <w:sz w:val="24"/>
                <w:szCs w:val="24"/>
              </w:rPr>
              <w:t>如该日为非交易日，则起始日应自动推迟至该日后的第一个交易日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观察日（T′）</w:t>
            </w:r>
          </w:p>
        </w:tc>
        <w:tc>
          <w:tcPr>
            <w:tcW w:w="6400" w:type="dxa"/>
          </w:tcPr>
          <w:p>
            <w:pPr>
              <w:rPr>
                <w:rFonts w:ascii="宋体" w:hAnsi="宋体"/>
                <w:sz w:val="24"/>
                <w:szCs w:val="24"/>
              </w:rPr>
            </w:pPr>
            <w:r>
              <w:rPr>
                <w:rFonts w:hint="eastAsia" w:ascii="宋体" w:hAnsi="宋体"/>
                <w:sz w:val="24"/>
                <w:szCs w:val="24"/>
              </w:rPr>
              <w:t>{{table1}}</w:t>
            </w:r>
          </w:p>
          <w:p>
            <w:pPr>
              <w:rPr>
                <w:rFonts w:ascii="宋体" w:hAnsi="宋体"/>
                <w:sz w:val="24"/>
                <w:szCs w:val="24"/>
              </w:rPr>
            </w:pPr>
            <w:r>
              <w:rPr>
                <w:rFonts w:ascii="宋体" w:hAnsi="宋体"/>
                <w:sz w:val="24"/>
                <w:szCs w:val="24"/>
              </w:rPr>
              <w:t>如</w:t>
            </w:r>
            <w:r>
              <w:rPr>
                <w:rFonts w:hint="eastAsia" w:ascii="宋体" w:hAnsi="宋体"/>
                <w:sz w:val="24"/>
                <w:szCs w:val="24"/>
              </w:rPr>
              <w:t>上述观察日</w:t>
            </w:r>
            <w:r>
              <w:rPr>
                <w:rFonts w:ascii="宋体" w:hAnsi="宋体"/>
                <w:sz w:val="24"/>
                <w:szCs w:val="24"/>
              </w:rPr>
              <w:t>为非交易日，则</w:t>
            </w:r>
            <w:r>
              <w:rPr>
                <w:rFonts w:hint="eastAsia" w:ascii="宋体" w:hAnsi="宋体"/>
                <w:sz w:val="24"/>
                <w:szCs w:val="24"/>
              </w:rPr>
              <w:t>观察日</w:t>
            </w:r>
            <w:r>
              <w:rPr>
                <w:rFonts w:ascii="宋体" w:hAnsi="宋体"/>
                <w:sz w:val="24"/>
                <w:szCs w:val="24"/>
              </w:rPr>
              <w:t>应自动推迟至该日后的第一个交易日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到期日</w:t>
            </w:r>
          </w:p>
        </w:tc>
        <w:tc>
          <w:tcPr>
            <w:tcW w:w="6400" w:type="dxa"/>
          </w:tcPr>
          <w:p>
            <w:pPr>
              <w:rPr>
                <w:rFonts w:ascii="宋体" w:hAnsi="宋体"/>
                <w:sz w:val="24"/>
                <w:szCs w:val="24"/>
              </w:rPr>
            </w:pPr>
            <w:r>
              <w:rPr>
                <w:rFonts w:hint="eastAsia" w:ascii="宋体" w:hAnsi="宋体"/>
                <w:sz w:val="24"/>
                <w:szCs w:val="24"/>
              </w:rPr>
              <w:t>{{顺序T}}= {{顺序到期日}}</w:t>
            </w:r>
            <w:r>
              <w:rPr>
                <w:rFonts w:ascii="宋体" w:hAnsi="宋体"/>
                <w:sz w:val="24"/>
                <w:szCs w:val="24"/>
              </w:rPr>
              <w:t>，如该日为非交易日，则</w:t>
            </w:r>
            <w:r>
              <w:rPr>
                <w:rFonts w:hint="eastAsia" w:ascii="宋体" w:hAnsi="宋体"/>
                <w:sz w:val="24"/>
                <w:szCs w:val="24"/>
              </w:rPr>
              <w:t>到期</w:t>
            </w:r>
            <w:r>
              <w:rPr>
                <w:rFonts w:ascii="宋体" w:hAnsi="宋体"/>
                <w:sz w:val="24"/>
                <w:szCs w:val="24"/>
              </w:rPr>
              <w:t>日应自动推迟至该日后的第一个交易日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提前到期日</w:t>
            </w:r>
          </w:p>
        </w:tc>
        <w:tc>
          <w:tcPr>
            <w:tcW w:w="6400" w:type="dxa"/>
          </w:tcPr>
          <w:p>
            <w:pPr>
              <w:rPr>
                <w:rFonts w:ascii="宋体" w:hAnsi="宋体"/>
                <w:sz w:val="24"/>
                <w:szCs w:val="24"/>
              </w:rPr>
            </w:pPr>
            <w:r>
              <w:rPr>
                <w:rFonts w:hint="eastAsia" w:ascii="宋体" w:hAnsi="宋体"/>
                <w:sz w:val="24"/>
                <w:szCs w:val="24"/>
              </w:rPr>
              <w:t>{{table2}}</w:t>
            </w:r>
          </w:p>
          <w:p>
            <w:pPr>
              <w:rPr>
                <w:rFonts w:ascii="宋体" w:hAnsi="宋体"/>
                <w:sz w:val="24"/>
                <w:szCs w:val="24"/>
              </w:rPr>
            </w:pPr>
            <w:r>
              <w:rPr>
                <w:rFonts w:ascii="宋体" w:hAnsi="宋体"/>
                <w:sz w:val="24"/>
                <w:szCs w:val="24"/>
              </w:rPr>
              <w:t>如</w:t>
            </w:r>
            <w:r>
              <w:rPr>
                <w:rFonts w:hint="eastAsia" w:ascii="宋体" w:hAnsi="宋体"/>
                <w:sz w:val="24"/>
                <w:szCs w:val="24"/>
              </w:rPr>
              <w:t>上述提前到期日</w:t>
            </w:r>
            <w:r>
              <w:rPr>
                <w:rFonts w:ascii="宋体" w:hAnsi="宋体"/>
                <w:sz w:val="24"/>
                <w:szCs w:val="24"/>
              </w:rPr>
              <w:t>为非交易日，则</w:t>
            </w:r>
            <w:r>
              <w:rPr>
                <w:rFonts w:hint="eastAsia" w:ascii="宋体" w:hAnsi="宋体"/>
                <w:sz w:val="24"/>
                <w:szCs w:val="24"/>
              </w:rPr>
              <w:t>提前到期日</w:t>
            </w:r>
            <w:r>
              <w:rPr>
                <w:rFonts w:ascii="宋体" w:hAnsi="宋体"/>
                <w:sz w:val="24"/>
                <w:szCs w:val="24"/>
              </w:rPr>
              <w:t>应自动推迟至该日后的第一个交易日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期初价格（</w:t>
            </w:r>
            <w:r>
              <w:rPr>
                <w:rFonts w:ascii="宋体" w:hAnsi="宋体"/>
                <w:sz w:val="24"/>
                <w:szCs w:val="24"/>
              </w:rPr>
              <w:t>S0）</w:t>
            </w:r>
          </w:p>
        </w:tc>
        <w:tc>
          <w:tcPr>
            <w:tcW w:w="6400" w:type="dxa"/>
          </w:tcPr>
          <w:p>
            <w:pPr>
              <w:rPr>
                <w:rFonts w:ascii="宋体" w:hAnsi="宋体"/>
                <w:sz w:val="24"/>
                <w:szCs w:val="24"/>
              </w:rPr>
            </w:pPr>
            <w:r>
              <w:rPr>
                <w:rFonts w:hint="eastAsia" w:ascii="宋体" w:hAnsi="宋体"/>
                <w:sz w:val="24"/>
                <w:szCs w:val="24"/>
              </w:rPr>
              <w:t>起始日当日的标的收盘价（点）(按照四舍五入法精确到小数点后2位）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观察价格（S）</w:t>
            </w:r>
          </w:p>
        </w:tc>
        <w:tc>
          <w:tcPr>
            <w:tcW w:w="6400" w:type="dxa"/>
          </w:tcPr>
          <w:p>
            <w:pPr>
              <w:rPr>
                <w:rFonts w:ascii="宋体" w:hAnsi="宋体"/>
                <w:sz w:val="24"/>
                <w:szCs w:val="24"/>
              </w:rPr>
            </w:pPr>
            <w:r>
              <w:rPr>
                <w:rFonts w:hint="eastAsia" w:ascii="Arial" w:hAnsi="Arial" w:cs="Arial" w:eastAsiaTheme="minorEastAsia"/>
                <w:sz w:val="24"/>
                <w:szCs w:val="24"/>
              </w:rPr>
              <w:t>标的在观察日的收盘价（点</w:t>
            </w:r>
            <w:r>
              <w:rPr>
                <w:rFonts w:ascii="Arial" w:hAnsi="Arial" w:cs="Arial" w:eastAsiaTheme="minorEastAsia"/>
                <w:sz w:val="24"/>
                <w:szCs w:val="24"/>
              </w:rPr>
              <w:t>）</w:t>
            </w:r>
            <w:r>
              <w:rPr>
                <w:rFonts w:hint="eastAsia" w:ascii="宋体" w:hAnsi="宋体"/>
                <w:sz w:val="24"/>
              </w:rPr>
              <w:t>(按照四舍五入法精确到小数点后2位</w:t>
            </w:r>
            <w:r>
              <w:rPr>
                <w:rFonts w:hint="eastAsia" w:ascii="宋体"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敲出</w:t>
            </w:r>
            <w:r>
              <w:rPr>
                <w:rFonts w:ascii="宋体" w:hAnsi="宋体"/>
                <w:sz w:val="24"/>
                <w:szCs w:val="24"/>
              </w:rPr>
              <w:t>价</w:t>
            </w:r>
            <w:r>
              <w:rPr>
                <w:rFonts w:hint="eastAsia" w:ascii="宋体" w:hAnsi="宋体"/>
                <w:sz w:val="24"/>
                <w:szCs w:val="24"/>
              </w:rPr>
              <w:t>格（K</w:t>
            </w:r>
            <w:r>
              <w:rPr>
                <w:rFonts w:ascii="宋体" w:hAnsi="宋体"/>
                <w:sz w:val="24"/>
                <w:szCs w:val="24"/>
              </w:rPr>
              <w:t>）</w:t>
            </w:r>
          </w:p>
        </w:tc>
        <w:tc>
          <w:tcPr>
            <w:tcW w:w="6400" w:type="dxa"/>
          </w:tcPr>
          <w:p>
            <w:pPr>
              <w:rPr>
                <w:rFonts w:ascii="宋体" w:hAnsi="宋体"/>
                <w:sz w:val="24"/>
                <w:szCs w:val="24"/>
              </w:rPr>
            </w:pPr>
            <w:r>
              <w:rPr>
                <w:rFonts w:hint="eastAsia" w:ascii="宋体" w:hAnsi="宋体"/>
                <w:sz w:val="24"/>
                <w:szCs w:val="24"/>
              </w:rPr>
              <w:t>期初价格*{{敲出障碍价}}%</w:t>
            </w:r>
            <w:r>
              <w:rPr>
                <w:rFonts w:hint="eastAsia" w:ascii="宋体" w:hAnsi="宋体"/>
                <w:sz w:val="24"/>
              </w:rPr>
              <w:t>(按照四舍五入法精确到小数点后2位</w:t>
            </w:r>
            <w:r>
              <w:rPr>
                <w:rFonts w:hint="eastAsia" w:ascii="宋体"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敲出事件</w:t>
            </w:r>
          </w:p>
        </w:tc>
        <w:tc>
          <w:tcPr>
            <w:tcW w:w="6400" w:type="dxa"/>
          </w:tcPr>
          <w:p>
            <w:pPr>
              <w:rPr>
                <w:rFonts w:ascii="宋体" w:hAnsi="宋体"/>
                <w:sz w:val="24"/>
                <w:szCs w:val="24"/>
              </w:rPr>
            </w:pPr>
            <w:r>
              <w:rPr>
                <w:rFonts w:hint="eastAsia" w:ascii="宋体" w:hAnsi="宋体"/>
                <w:sz w:val="24"/>
                <w:szCs w:val="24"/>
              </w:rPr>
              <w:t>在任一观察日Tn′(n=1至{{顺序结束}})若标的证券观察价格大于或等于敲出价格K，则视为敲出事件发生；</w:t>
            </w:r>
          </w:p>
          <w:p>
            <w:pPr>
              <w:rPr>
                <w:rFonts w:ascii="宋体" w:hAnsi="宋体"/>
                <w:sz w:val="24"/>
                <w:szCs w:val="24"/>
              </w:rPr>
            </w:pPr>
            <w:r>
              <w:rPr>
                <w:rFonts w:hint="eastAsia" w:ascii="宋体" w:hAnsi="宋体"/>
                <w:sz w:val="24"/>
                <w:szCs w:val="24"/>
              </w:rPr>
              <w:t>若期权在观察日Tn′(n=1至{{提前结束}})发生敲出事件，则本交易确认书项下交易在对应的提前到期日Tn自动终止；</w:t>
            </w:r>
          </w:p>
          <w:p>
            <w:pPr>
              <w:rPr>
                <w:rFonts w:ascii="宋体" w:hAnsi="宋体"/>
                <w:sz w:val="24"/>
                <w:szCs w:val="24"/>
              </w:rPr>
            </w:pPr>
            <w:r>
              <w:rPr>
                <w:rFonts w:hint="eastAsia" w:ascii="宋体" w:hAnsi="宋体"/>
                <w:sz w:val="24"/>
                <w:szCs w:val="24"/>
              </w:rPr>
              <w:t>若期权在观察日T{{顺序结束}}′发生敲出事件，则本交易确认书项下交易在对应的到期日{{顺序T}}终止；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固定收益率</w:t>
            </w:r>
          </w:p>
        </w:tc>
        <w:tc>
          <w:tcPr>
            <w:tcW w:w="6400" w:type="dxa"/>
          </w:tcPr>
          <w:p>
            <w:pPr>
              <w:rPr>
                <w:rFonts w:hint="eastAsia" w:ascii="宋体" w:hAnsi="宋体" w:eastAsia="宋体"/>
                <w:sz w:val="24"/>
                <w:szCs w:val="24"/>
                <w:lang w:val="en-US" w:eastAsia="zh-CN"/>
              </w:rPr>
            </w:pPr>
            <w:r>
              <w:rPr>
                <w:rFonts w:hint="eastAsia" w:ascii="宋体" w:hAnsi="宋体"/>
                <w:sz w:val="24"/>
                <w:szCs w:val="24"/>
              </w:rPr>
              <w:t>{{期权费率}}</w:t>
            </w:r>
            <w:r>
              <w:rPr>
                <w:rFonts w:hint="eastAsia" w:ascii="宋体" w:hAnsi="宋体"/>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浮动收益率</w:t>
            </w:r>
          </w:p>
        </w:tc>
        <w:tc>
          <w:tcPr>
            <w:tcW w:w="6400" w:type="dxa"/>
          </w:tcPr>
          <w:p>
            <w:pPr>
              <w:rPr>
                <w:rFonts w:hint="eastAsia" w:ascii="宋体" w:hAnsi="宋体" w:eastAsia="宋体"/>
                <w:sz w:val="24"/>
                <w:szCs w:val="24"/>
                <w:lang w:val="en-US" w:eastAsia="zh-CN"/>
              </w:rPr>
            </w:pPr>
            <w:r>
              <w:rPr>
                <w:rFonts w:hint="eastAsia" w:ascii="宋体" w:hAnsi="宋体"/>
                <w:sz w:val="24"/>
                <w:szCs w:val="24"/>
              </w:rPr>
              <w:t>一级收益率={{期权费率}}</w:t>
            </w:r>
            <w:r>
              <w:rPr>
                <w:rFonts w:hint="eastAsia" w:ascii="宋体" w:hAnsi="宋体"/>
                <w:sz w:val="24"/>
                <w:szCs w:val="24"/>
                <w:lang w:val="en-US" w:eastAsia="zh-CN"/>
              </w:rPr>
              <w:t>%</w:t>
            </w:r>
          </w:p>
          <w:p>
            <w:pPr>
              <w:rPr>
                <w:rFonts w:hint="eastAsia" w:ascii="宋体" w:hAnsi="宋体" w:eastAsia="宋体"/>
                <w:sz w:val="24"/>
                <w:szCs w:val="24"/>
                <w:lang w:val="en-US" w:eastAsia="zh-CN"/>
              </w:rPr>
            </w:pPr>
            <w:r>
              <w:rPr>
                <w:rFonts w:hint="eastAsia" w:ascii="宋体" w:hAnsi="宋体"/>
                <w:sz w:val="24"/>
                <w:szCs w:val="24"/>
              </w:rPr>
              <w:t>二级收益率=</w:t>
            </w:r>
            <w:bookmarkStart w:id="0" w:name="OLE_LINK1"/>
            <w:r>
              <w:rPr>
                <w:rFonts w:hint="eastAsia" w:ascii="宋体" w:hAnsi="宋体"/>
                <w:sz w:val="24"/>
                <w:szCs w:val="24"/>
              </w:rPr>
              <w:t>{{票息率}}</w:t>
            </w:r>
            <w:bookmarkEnd w:id="0"/>
            <w:r>
              <w:rPr>
                <w:rFonts w:hint="eastAsia" w:ascii="宋体" w:hAnsi="宋体"/>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交易日</w:t>
            </w:r>
          </w:p>
        </w:tc>
        <w:tc>
          <w:tcPr>
            <w:tcW w:w="6400" w:type="dxa"/>
          </w:tcPr>
          <w:p>
            <w:pPr>
              <w:rPr>
                <w:rFonts w:ascii="宋体" w:hAnsi="宋体"/>
                <w:sz w:val="24"/>
                <w:szCs w:val="24"/>
              </w:rPr>
            </w:pPr>
            <w:r>
              <w:rPr>
                <w:rFonts w:hint="eastAsia" w:ascii="宋体" w:hAnsi="宋体"/>
                <w:sz w:val="24"/>
                <w:szCs w:val="24"/>
              </w:rPr>
              <w:t>《上海证券交易所交易规则》规定的交易日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rPr>
                <w:rFonts w:ascii="宋体" w:hAnsi="宋体"/>
                <w:sz w:val="24"/>
                <w:szCs w:val="24"/>
              </w:rPr>
            </w:pPr>
            <w:r>
              <w:rPr>
                <w:rFonts w:hint="eastAsia" w:ascii="宋体" w:hAnsi="宋体"/>
                <w:sz w:val="24"/>
                <w:szCs w:val="24"/>
              </w:rPr>
              <w:t>收盘价（点）</w:t>
            </w:r>
          </w:p>
        </w:tc>
        <w:tc>
          <w:tcPr>
            <w:tcW w:w="6400" w:type="dxa"/>
          </w:tcPr>
          <w:p>
            <w:pPr>
              <w:rPr>
                <w:rFonts w:ascii="宋体" w:hAnsi="宋体"/>
                <w:sz w:val="24"/>
                <w:szCs w:val="24"/>
              </w:rPr>
            </w:pPr>
            <w:r>
              <w:rPr>
                <w:rFonts w:hint="eastAsia" w:ascii="宋体" w:hAnsi="宋体"/>
                <w:sz w:val="24"/>
                <w:szCs w:val="24"/>
              </w:rPr>
              <w:t>根据《上海证券交易所交易规则》的规定，按照3.4款的约定所取得的数值。</w:t>
            </w:r>
          </w:p>
        </w:tc>
      </w:tr>
    </w:tbl>
    <w:p>
      <w:pPr>
        <w:rPr>
          <w:rFonts w:ascii="宋体" w:hAnsi="宋体"/>
        </w:rPr>
      </w:pPr>
    </w:p>
    <w:p>
      <w:pPr>
        <w:numPr>
          <w:ilvl w:val="0"/>
          <w:numId w:val="1"/>
        </w:numPr>
        <w:spacing w:line="360" w:lineRule="auto"/>
        <w:rPr>
          <w:rFonts w:ascii="宋体" w:hAnsi="宋体"/>
          <w:sz w:val="24"/>
          <w:szCs w:val="24"/>
        </w:rPr>
      </w:pPr>
      <w:r>
        <w:rPr>
          <w:rFonts w:hint="eastAsia" w:ascii="宋体" w:hAnsi="宋体"/>
          <w:sz w:val="24"/>
          <w:szCs w:val="24"/>
        </w:rPr>
        <w:t>到期收益支付条款</w:t>
      </w:r>
    </w:p>
    <w:p>
      <w:pPr>
        <w:spacing w:line="360" w:lineRule="auto"/>
        <w:ind w:left="420"/>
        <w:rPr>
          <w:rFonts w:ascii="宋体" w:hAnsi="宋体"/>
          <w:sz w:val="24"/>
          <w:szCs w:val="24"/>
        </w:rPr>
      </w:pPr>
      <w:r>
        <w:rPr>
          <w:rFonts w:hint="eastAsia" w:ascii="宋体" w:hAnsi="宋体"/>
          <w:sz w:val="24"/>
          <w:szCs w:val="24"/>
        </w:rPr>
        <w:t>交易双方应根据如下规定进行结算并履行支付义务：</w:t>
      </w:r>
    </w:p>
    <w:p>
      <w:pPr>
        <w:spacing w:line="360" w:lineRule="auto"/>
        <w:ind w:left="420"/>
        <w:rPr>
          <w:rFonts w:ascii="宋体" w:hAnsi="宋体"/>
          <w:sz w:val="24"/>
          <w:szCs w:val="24"/>
        </w:rPr>
      </w:pPr>
      <w:r>
        <w:rPr>
          <w:rFonts w:hint="eastAsia" w:ascii="宋体" w:hAnsi="宋体"/>
          <w:sz w:val="24"/>
          <w:szCs w:val="24"/>
        </w:rPr>
        <w:t>2.1甲方应向乙方支付的收益金额计算方法如下（四舍五入精确到小数点后2位）：</w:t>
      </w:r>
    </w:p>
    <w:p>
      <w:pPr>
        <w:spacing w:line="360" w:lineRule="auto"/>
        <w:ind w:left="420"/>
        <w:rPr>
          <w:rFonts w:ascii="宋体" w:hAnsi="宋体"/>
          <w:sz w:val="24"/>
          <w:szCs w:val="24"/>
        </w:rPr>
      </w:pPr>
      <w:r>
        <w:rPr>
          <w:rFonts w:hint="eastAsia" w:ascii="宋体" w:hAnsi="宋体"/>
          <w:sz w:val="24"/>
          <w:szCs w:val="24"/>
        </w:rPr>
        <w:t>2.1.1若该期权在观察日Tn′(n=1至{{提前结束}})发生敲出事件，则甲方应向乙方支付的收益=名义本金额*二级收益率*自起始日（含）到该观察日对应的提前到期日Tn（不含）之间的自然日天数/年度计息基数</w:t>
      </w:r>
    </w:p>
    <w:p>
      <w:pPr>
        <w:spacing w:line="360" w:lineRule="auto"/>
        <w:ind w:left="420"/>
        <w:rPr>
          <w:rFonts w:ascii="宋体" w:hAnsi="宋体"/>
          <w:sz w:val="24"/>
          <w:szCs w:val="24"/>
        </w:rPr>
      </w:pPr>
      <w:r>
        <w:rPr>
          <w:rFonts w:hint="eastAsia" w:ascii="宋体" w:hAnsi="宋体"/>
          <w:sz w:val="24"/>
          <w:szCs w:val="24"/>
        </w:rPr>
        <w:t>2.1.2若未发生2.1.1条约定之敲出事件，且该期权在观察日T{{顺序结束}}′发生敲出事件，则甲方应向乙方支付的收益=名义本金额*二级收益率*自起始日（含）到到期日</w:t>
      </w:r>
      <w:bookmarkStart w:id="3" w:name="_GoBack"/>
      <w:bookmarkEnd w:id="3"/>
      <w:r>
        <w:rPr>
          <w:rFonts w:hint="eastAsia" w:ascii="宋体" w:hAnsi="宋体"/>
          <w:sz w:val="24"/>
          <w:szCs w:val="24"/>
        </w:rPr>
        <w:t>{{顺序T}}（不含）之间的自然日天数/年度计息基数</w:t>
      </w:r>
    </w:p>
    <w:p>
      <w:pPr>
        <w:spacing w:line="360" w:lineRule="auto"/>
        <w:ind w:left="420"/>
        <w:rPr>
          <w:rFonts w:ascii="宋体" w:hAnsi="宋体"/>
          <w:sz w:val="24"/>
          <w:szCs w:val="24"/>
        </w:rPr>
      </w:pPr>
      <w:r>
        <w:rPr>
          <w:rFonts w:hint="eastAsia" w:ascii="宋体" w:hAnsi="宋体"/>
          <w:sz w:val="24"/>
          <w:szCs w:val="24"/>
        </w:rPr>
        <w:t>2.1.3若该期权在任一观察日未发生敲出事件，则甲方应向乙方支付的收益=名义本金额*一级收益率*自起始日（含）到到期日{{顺序T}}（不含）之间的自然日天数/年度计息基数</w:t>
      </w:r>
    </w:p>
    <w:p>
      <w:pPr>
        <w:spacing w:line="360" w:lineRule="auto"/>
        <w:ind w:left="420"/>
        <w:rPr>
          <w:rFonts w:ascii="宋体" w:hAnsi="宋体"/>
          <w:sz w:val="24"/>
          <w:szCs w:val="24"/>
        </w:rPr>
      </w:pPr>
    </w:p>
    <w:p>
      <w:pPr>
        <w:spacing w:line="360" w:lineRule="auto"/>
        <w:ind w:left="420"/>
        <w:rPr>
          <w:rFonts w:ascii="宋体" w:hAnsi="宋体"/>
          <w:sz w:val="24"/>
          <w:szCs w:val="24"/>
        </w:rPr>
      </w:pPr>
      <w:r>
        <w:rPr>
          <w:rFonts w:hint="eastAsia" w:ascii="宋体" w:hAnsi="宋体"/>
          <w:sz w:val="24"/>
          <w:szCs w:val="24"/>
        </w:rPr>
        <w:t>2.2乙方应向甲方支付的收益金额计算方法如下（四舍五入精确到小数点后2位）：</w:t>
      </w:r>
    </w:p>
    <w:p>
      <w:pPr>
        <w:spacing w:line="360" w:lineRule="auto"/>
        <w:ind w:left="420"/>
        <w:rPr>
          <w:rFonts w:ascii="宋体" w:hAnsi="宋体"/>
          <w:sz w:val="24"/>
          <w:szCs w:val="24"/>
        </w:rPr>
      </w:pPr>
      <w:r>
        <w:rPr>
          <w:rFonts w:hint="eastAsia" w:ascii="宋体" w:hAnsi="宋体"/>
          <w:sz w:val="24"/>
          <w:szCs w:val="24"/>
        </w:rPr>
        <w:t>2.2.1若该期权在观察日Tn′(n=1至{{提前结束}})发生敲出事件，则乙方应向甲方支付的收益金额=名义本金额*固定收益率*自起始日（含）到该观察日对应的提前到期日Tn（不含）之间的自然日天数/年度计息基数</w:t>
      </w:r>
    </w:p>
    <w:p>
      <w:pPr>
        <w:spacing w:line="360" w:lineRule="auto"/>
        <w:ind w:left="420"/>
        <w:rPr>
          <w:rFonts w:ascii="宋体" w:hAnsi="宋体"/>
          <w:sz w:val="24"/>
          <w:szCs w:val="24"/>
        </w:rPr>
      </w:pPr>
      <w:r>
        <w:rPr>
          <w:rFonts w:hint="eastAsia" w:ascii="宋体" w:hAnsi="宋体"/>
          <w:sz w:val="24"/>
          <w:szCs w:val="24"/>
        </w:rPr>
        <w:t>2.2.2若该期权未发生2.2.1条约定之敲出事件，且在观察日T{{顺序结束}}′发生敲出事件，则乙方应向甲方支付的收益=名义本金额*固定收益率*自起始日（含）到到期日{{顺序T}}（不含）之间的自然日天数/年度计息基数</w:t>
      </w:r>
    </w:p>
    <w:p>
      <w:pPr>
        <w:spacing w:line="360" w:lineRule="auto"/>
        <w:ind w:left="420"/>
        <w:rPr>
          <w:rFonts w:ascii="宋体" w:hAnsi="宋体"/>
          <w:sz w:val="24"/>
          <w:szCs w:val="24"/>
        </w:rPr>
      </w:pPr>
      <w:r>
        <w:rPr>
          <w:rFonts w:hint="eastAsia" w:ascii="宋体" w:hAnsi="宋体"/>
          <w:sz w:val="24"/>
          <w:szCs w:val="24"/>
        </w:rPr>
        <w:t>2.2.3若该期权在任一观察日未发生敲出事件，则乙方应向甲方支付的收益=名义本金额*固定收益率*自起始日（含）到到期日{{顺序T}}（不含）之间的自然日天数/年度计息基数</w:t>
      </w:r>
    </w:p>
    <w:p>
      <w:pPr>
        <w:spacing w:line="360" w:lineRule="auto"/>
        <w:ind w:left="420"/>
        <w:rPr>
          <w:rFonts w:ascii="宋体" w:hAnsi="宋体"/>
          <w:sz w:val="24"/>
          <w:szCs w:val="24"/>
        </w:rPr>
      </w:pPr>
    </w:p>
    <w:p>
      <w:pPr>
        <w:spacing w:line="360" w:lineRule="auto"/>
        <w:ind w:left="420"/>
        <w:rPr>
          <w:rFonts w:ascii="宋体" w:hAnsi="宋体"/>
          <w:sz w:val="24"/>
          <w:szCs w:val="24"/>
        </w:rPr>
      </w:pPr>
      <w:r>
        <w:rPr>
          <w:rFonts w:hint="eastAsia" w:ascii="宋体" w:hAnsi="宋体"/>
          <w:sz w:val="24"/>
          <w:szCs w:val="24"/>
        </w:rPr>
        <w:t>2.3交易双方对2.1及2.2条的应支付金额进行轧差计算，即交易一方的应支付金额若超过另一方的应支付金额，则由应支付金额较大的一方向另一方支付轧差金额。</w:t>
      </w:r>
    </w:p>
    <w:p>
      <w:pPr>
        <w:spacing w:line="360" w:lineRule="auto"/>
        <w:ind w:left="420"/>
        <w:rPr>
          <w:rFonts w:ascii="宋体" w:hAnsi="宋体"/>
          <w:sz w:val="24"/>
          <w:szCs w:val="24"/>
        </w:rPr>
      </w:pPr>
      <w:r>
        <w:rPr>
          <w:rFonts w:hint="eastAsia" w:ascii="宋体" w:hAnsi="宋体"/>
          <w:sz w:val="24"/>
          <w:szCs w:val="24"/>
        </w:rPr>
        <w:t>2.3.1若该期权在观察日Tn′(n=1至{{提前结束}})发生敲出事件，相关轧差金额应在提前到期日Tn当日，由一方向本确认书约定的另一方账户进行支付。</w:t>
      </w:r>
    </w:p>
    <w:p>
      <w:pPr>
        <w:spacing w:line="360" w:lineRule="auto"/>
        <w:ind w:left="420"/>
        <w:rPr>
          <w:rFonts w:ascii="宋体" w:hAnsi="宋体"/>
          <w:sz w:val="24"/>
          <w:szCs w:val="24"/>
        </w:rPr>
      </w:pPr>
      <w:r>
        <w:rPr>
          <w:rFonts w:hint="eastAsia" w:ascii="宋体" w:hAnsi="宋体"/>
          <w:sz w:val="24"/>
          <w:szCs w:val="24"/>
        </w:rPr>
        <w:t>2.3.2若未发生2.3.1条约定之敲出事件，且该期权在观察日T{{顺序结束}}′发生敲出事件，相关轧差金额应在到期日当日，由一方向本确认书约定的另一方账户进行支付。</w:t>
      </w:r>
    </w:p>
    <w:p>
      <w:pPr>
        <w:spacing w:line="360" w:lineRule="auto"/>
        <w:ind w:left="420"/>
        <w:rPr>
          <w:rFonts w:ascii="宋体" w:hAnsi="宋体"/>
          <w:sz w:val="24"/>
          <w:szCs w:val="24"/>
        </w:rPr>
      </w:pPr>
      <w:r>
        <w:rPr>
          <w:rFonts w:hint="eastAsia" w:ascii="宋体" w:hAnsi="宋体"/>
          <w:sz w:val="24"/>
          <w:szCs w:val="24"/>
        </w:rPr>
        <w:t>2.3.3若未发生2.3.1条至2.3.2条约定之敲出事件，相关轧差金额应在到期日当日，由一方向本确认书约定的另一方账户进行支付。</w:t>
      </w:r>
    </w:p>
    <w:p>
      <w:pPr>
        <w:spacing w:line="360" w:lineRule="auto"/>
        <w:rPr>
          <w:rFonts w:ascii="宋体" w:hAnsi="宋体"/>
          <w:sz w:val="24"/>
          <w:szCs w:val="24"/>
        </w:rPr>
      </w:pPr>
    </w:p>
    <w:p>
      <w:pPr>
        <w:numPr>
          <w:ilvl w:val="0"/>
          <w:numId w:val="1"/>
        </w:numPr>
        <w:spacing w:line="360" w:lineRule="auto"/>
        <w:rPr>
          <w:rFonts w:ascii="宋体" w:hAnsi="宋体"/>
          <w:sz w:val="24"/>
          <w:szCs w:val="24"/>
        </w:rPr>
      </w:pPr>
      <w:r>
        <w:rPr>
          <w:rFonts w:ascii="宋体" w:hAnsi="宋体"/>
          <w:sz w:val="24"/>
          <w:szCs w:val="24"/>
        </w:rPr>
        <w:t>其他条款</w:t>
      </w:r>
    </w:p>
    <w:p>
      <w:pPr>
        <w:spacing w:line="360" w:lineRule="auto"/>
        <w:rPr>
          <w:rFonts w:ascii="宋体" w:hAnsi="宋体"/>
          <w:sz w:val="24"/>
          <w:szCs w:val="24"/>
        </w:rPr>
      </w:pPr>
      <w:r>
        <w:rPr>
          <w:rFonts w:hint="eastAsia" w:ascii="宋体" w:hAnsi="宋体"/>
          <w:sz w:val="24"/>
          <w:szCs w:val="24"/>
        </w:rPr>
        <w:t>3.1</w:t>
      </w:r>
      <w:r>
        <w:rPr>
          <w:rFonts w:ascii="宋体" w:hAnsi="宋体"/>
          <w:sz w:val="24"/>
          <w:szCs w:val="24"/>
        </w:rPr>
        <w:t>账户信息</w:t>
      </w:r>
    </w:p>
    <w:p>
      <w:pPr>
        <w:spacing w:line="360" w:lineRule="auto"/>
        <w:rPr>
          <w:rFonts w:ascii="Arial" w:hAnsi="Arial" w:cs="Arial"/>
          <w:sz w:val="24"/>
          <w:szCs w:val="24"/>
        </w:rPr>
      </w:pPr>
      <w:r>
        <w:rPr>
          <w:rFonts w:ascii="Arial" w:hAnsi="Arial" w:cs="Arial"/>
          <w:b/>
          <w:sz w:val="24"/>
          <w:szCs w:val="24"/>
        </w:rPr>
        <w:t>甲方</w:t>
      </w:r>
      <w:r>
        <w:rPr>
          <w:rFonts w:ascii="Arial" w:hAnsi="Arial" w:cs="Arial"/>
          <w:sz w:val="24"/>
          <w:szCs w:val="24"/>
        </w:rPr>
        <w:t>：</w:t>
      </w:r>
      <w:r>
        <w:rPr>
          <w:rFonts w:hint="eastAsia" w:ascii="Arial" w:hAnsi="Arial" w:cs="Arial"/>
          <w:sz w:val="24"/>
          <w:szCs w:val="24"/>
        </w:rPr>
        <w:t>{{甲方}}</w:t>
      </w:r>
    </w:p>
    <w:p>
      <w:pPr>
        <w:spacing w:line="360" w:lineRule="auto"/>
        <w:rPr>
          <w:rFonts w:ascii="宋体" w:hAnsi="宋体"/>
          <w:sz w:val="24"/>
          <w:szCs w:val="24"/>
        </w:rPr>
      </w:pPr>
      <w:r>
        <w:rPr>
          <w:rFonts w:ascii="Arial" w:hAnsi="Arial" w:cs="Arial"/>
          <w:sz w:val="24"/>
          <w:szCs w:val="24"/>
        </w:rPr>
        <w:t>户名：</w:t>
      </w:r>
      <w:r>
        <w:rPr>
          <w:rFonts w:hint="eastAsia" w:ascii="Arial" w:hAnsi="Arial" w:cs="Arial"/>
          <w:sz w:val="24"/>
          <w:szCs w:val="24"/>
        </w:rPr>
        <w:t>{{甲方户名}}</w:t>
      </w:r>
    </w:p>
    <w:p>
      <w:pPr>
        <w:spacing w:line="360" w:lineRule="auto"/>
        <w:rPr>
          <w:rFonts w:ascii="Arial" w:hAnsi="Arial" w:cs="Arial"/>
          <w:sz w:val="24"/>
          <w:szCs w:val="24"/>
        </w:rPr>
      </w:pPr>
      <w:r>
        <w:rPr>
          <w:rFonts w:hint="eastAsia" w:ascii="Arial" w:hAnsi="Arial" w:cs="Arial"/>
          <w:sz w:val="24"/>
          <w:szCs w:val="24"/>
        </w:rPr>
        <w:t>账号：{{甲方账号}}</w:t>
      </w:r>
    </w:p>
    <w:p>
      <w:pPr>
        <w:spacing w:line="360" w:lineRule="auto"/>
        <w:rPr>
          <w:color w:val="000000"/>
        </w:rPr>
      </w:pPr>
      <w:r>
        <w:rPr>
          <w:rFonts w:hint="eastAsia" w:ascii="宋体" w:hAnsi="宋体"/>
          <w:sz w:val="24"/>
          <w:szCs w:val="24"/>
        </w:rPr>
        <w:t>开户行：{{甲方开户行}}</w:t>
      </w:r>
    </w:p>
    <w:p>
      <w:pPr>
        <w:spacing w:line="360" w:lineRule="auto"/>
        <w:rPr>
          <w:rFonts w:ascii="宋体" w:hAnsi="宋体"/>
          <w:sz w:val="24"/>
          <w:szCs w:val="24"/>
        </w:rPr>
      </w:pPr>
      <w:r>
        <w:rPr>
          <w:rFonts w:ascii="Arial" w:hAnsi="Arial" w:cs="Arial"/>
          <w:sz w:val="24"/>
          <w:szCs w:val="24"/>
        </w:rPr>
        <w:t>支付系统号：</w:t>
      </w:r>
      <w:r>
        <w:rPr>
          <w:rFonts w:hint="eastAsia" w:ascii="宋体" w:hAnsi="宋体"/>
          <w:sz w:val="24"/>
          <w:szCs w:val="24"/>
        </w:rPr>
        <w:t>{{甲方大额行号}}</w:t>
      </w:r>
    </w:p>
    <w:p>
      <w:pPr>
        <w:spacing w:line="360" w:lineRule="auto"/>
        <w:rPr>
          <w:rFonts w:ascii="宋体" w:hAnsi="宋体"/>
          <w:sz w:val="24"/>
          <w:szCs w:val="24"/>
        </w:rPr>
      </w:pPr>
      <w:r>
        <w:rPr>
          <w:rFonts w:hint="eastAsia" w:ascii="宋体" w:hAnsi="宋体"/>
          <w:b/>
          <w:sz w:val="24"/>
          <w:szCs w:val="24"/>
        </w:rPr>
        <w:t>乙方</w:t>
      </w:r>
      <w:r>
        <w:rPr>
          <w:rFonts w:hint="eastAsia" w:ascii="宋体" w:hAnsi="宋体"/>
          <w:sz w:val="24"/>
          <w:szCs w:val="24"/>
        </w:rPr>
        <w:t>：{{乙方}}</w:t>
      </w:r>
    </w:p>
    <w:p>
      <w:pPr>
        <w:spacing w:line="360" w:lineRule="auto"/>
        <w:rPr>
          <w:rFonts w:ascii="宋体" w:hAnsi="宋体"/>
          <w:sz w:val="24"/>
          <w:szCs w:val="24"/>
        </w:rPr>
      </w:pPr>
      <w:r>
        <w:rPr>
          <w:rFonts w:hint="eastAsia" w:ascii="宋体" w:hAnsi="宋体"/>
          <w:sz w:val="24"/>
          <w:szCs w:val="24"/>
        </w:rPr>
        <w:t>户名：{{乙方户名}}</w:t>
      </w:r>
    </w:p>
    <w:p>
      <w:pPr>
        <w:spacing w:line="360" w:lineRule="auto"/>
        <w:rPr>
          <w:rFonts w:ascii="宋体" w:hAnsi="宋体"/>
          <w:sz w:val="24"/>
          <w:szCs w:val="24"/>
        </w:rPr>
      </w:pPr>
      <w:r>
        <w:rPr>
          <w:rFonts w:hint="eastAsia" w:ascii="宋体" w:hAnsi="宋体"/>
          <w:sz w:val="24"/>
          <w:szCs w:val="24"/>
        </w:rPr>
        <w:t>账号：{{乙方账号}}</w:t>
      </w:r>
    </w:p>
    <w:p>
      <w:pPr>
        <w:spacing w:line="360" w:lineRule="auto"/>
        <w:rPr>
          <w:rFonts w:ascii="宋体" w:hAnsi="宋体"/>
          <w:sz w:val="24"/>
          <w:szCs w:val="24"/>
        </w:rPr>
      </w:pPr>
      <w:r>
        <w:rPr>
          <w:rFonts w:hint="eastAsia" w:ascii="宋体" w:hAnsi="宋体"/>
          <w:sz w:val="24"/>
          <w:szCs w:val="24"/>
        </w:rPr>
        <w:t>开户行： {{乙方开户行}}</w:t>
      </w:r>
    </w:p>
    <w:p>
      <w:pPr>
        <w:spacing w:line="360" w:lineRule="auto"/>
        <w:rPr>
          <w:rFonts w:ascii="宋体" w:hAnsi="宋体"/>
          <w:sz w:val="24"/>
          <w:szCs w:val="24"/>
        </w:rPr>
      </w:pPr>
      <w:r>
        <w:rPr>
          <w:rFonts w:hint="eastAsia" w:ascii="宋体" w:hAnsi="宋体"/>
          <w:sz w:val="24"/>
          <w:szCs w:val="24"/>
        </w:rPr>
        <w:t>支付系统行号：{{乙方大额行号}}</w:t>
      </w:r>
    </w:p>
    <w:p>
      <w:pPr>
        <w:spacing w:line="360" w:lineRule="auto"/>
        <w:rPr>
          <w:rFonts w:ascii="宋体" w:hAnsi="宋体"/>
          <w:sz w:val="24"/>
          <w:szCs w:val="24"/>
        </w:rPr>
      </w:pPr>
      <w:r>
        <w:rPr>
          <w:rFonts w:hint="eastAsia" w:ascii="宋体" w:hAnsi="宋体"/>
          <w:sz w:val="24"/>
          <w:szCs w:val="24"/>
        </w:rPr>
        <w:t>3.2</w:t>
      </w:r>
      <w:r>
        <w:rPr>
          <w:rFonts w:ascii="宋体" w:hAnsi="宋体"/>
          <w:sz w:val="24"/>
          <w:szCs w:val="24"/>
        </w:rPr>
        <w:t>联系方式</w:t>
      </w:r>
    </w:p>
    <w:p>
      <w:pPr>
        <w:spacing w:line="360" w:lineRule="auto"/>
        <w:ind w:right="600"/>
        <w:jc w:val="left"/>
        <w:rPr>
          <w:rFonts w:ascii="Arial" w:hAnsi="Arial" w:cs="Arial"/>
          <w:sz w:val="24"/>
          <w:szCs w:val="24"/>
        </w:rPr>
      </w:pPr>
      <w:r>
        <w:rPr>
          <w:rFonts w:hint="eastAsia" w:ascii="Arial" w:hAnsi="Arial" w:cs="Arial"/>
          <w:b/>
          <w:sz w:val="24"/>
          <w:szCs w:val="24"/>
        </w:rPr>
        <w:t>甲方：{{甲方}}</w:t>
      </w:r>
    </w:p>
    <w:p>
      <w:pPr>
        <w:spacing w:line="360" w:lineRule="auto"/>
        <w:rPr>
          <w:rFonts w:ascii="Arial" w:hAnsi="Arial" w:cs="Arial"/>
          <w:sz w:val="24"/>
          <w:szCs w:val="24"/>
        </w:rPr>
      </w:pPr>
      <w:r>
        <w:rPr>
          <w:rFonts w:hint="eastAsia" w:ascii="Arial" w:hAnsi="Arial" w:cs="Arial"/>
          <w:sz w:val="24"/>
          <w:szCs w:val="24"/>
        </w:rPr>
        <w:t>联系人：{{甲方联系人}}</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联系电话</w:t>
      </w:r>
      <w:r>
        <w:rPr>
          <w:rFonts w:hint="eastAsia" w:asciiTheme="minorEastAsia" w:hAnsiTheme="minorEastAsia" w:eastAsiaTheme="minorEastAsia"/>
          <w:sz w:val="24"/>
          <w:szCs w:val="24"/>
        </w:rPr>
        <w:t>：{{甲方</w:t>
      </w:r>
      <w:r>
        <w:rPr>
          <w:rFonts w:hint="eastAsia" w:ascii="宋体" w:hAnsi="宋体"/>
          <w:sz w:val="24"/>
          <w:szCs w:val="24"/>
        </w:rPr>
        <w:t>电话</w:t>
      </w:r>
      <w:r>
        <w:rPr>
          <w:rFonts w:hint="eastAsia" w:asciiTheme="minorEastAsia" w:hAnsiTheme="minorEastAsia" w:eastAsiaTheme="minorEastAsia"/>
          <w:sz w:val="24"/>
          <w:szCs w:val="24"/>
        </w:rPr>
        <w:t>}}</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传真号码</w:t>
      </w:r>
      <w:r>
        <w:rPr>
          <w:rFonts w:hint="eastAsia" w:asciiTheme="minorEastAsia" w:hAnsiTheme="minorEastAsia" w:eastAsiaTheme="minorEastAsia"/>
          <w:sz w:val="24"/>
          <w:szCs w:val="24"/>
        </w:rPr>
        <w:t>：{{甲方传真}}</w:t>
      </w:r>
    </w:p>
    <w:p>
      <w:pPr>
        <w:spacing w:line="360" w:lineRule="auto"/>
        <w:rPr>
          <w:rFonts w:ascii="宋体" w:hAnsi="宋体"/>
          <w:sz w:val="24"/>
          <w:szCs w:val="24"/>
        </w:rPr>
      </w:pPr>
      <w:r>
        <w:rPr>
          <w:rFonts w:hint="eastAsia" w:asciiTheme="minorEastAsia" w:hAnsiTheme="minorEastAsia" w:eastAsiaTheme="minorEastAsia"/>
          <w:sz w:val="24"/>
          <w:szCs w:val="24"/>
        </w:rPr>
        <w:t>电子邮箱：{{甲方邮件}}</w:t>
      </w:r>
    </w:p>
    <w:p>
      <w:pPr>
        <w:spacing w:line="360" w:lineRule="auto"/>
        <w:rPr>
          <w:rFonts w:ascii="宋体" w:hAnsi="宋体"/>
          <w:sz w:val="24"/>
          <w:szCs w:val="24"/>
        </w:rPr>
      </w:pPr>
      <w:r>
        <w:rPr>
          <w:rFonts w:ascii="宋体" w:hAnsi="宋体"/>
          <w:b/>
          <w:sz w:val="24"/>
          <w:szCs w:val="24"/>
        </w:rPr>
        <w:t>乙方：</w:t>
      </w:r>
      <w:r>
        <w:rPr>
          <w:rFonts w:hint="eastAsia" w:ascii="宋体" w:hAnsi="宋体"/>
          <w:sz w:val="24"/>
          <w:szCs w:val="24"/>
        </w:rPr>
        <w:t>{{乙方}}</w:t>
      </w:r>
    </w:p>
    <w:p>
      <w:pPr>
        <w:spacing w:line="360" w:lineRule="auto"/>
        <w:rPr>
          <w:rFonts w:ascii="宋体" w:hAnsi="宋体"/>
          <w:sz w:val="24"/>
          <w:szCs w:val="24"/>
        </w:rPr>
      </w:pPr>
      <w:r>
        <w:rPr>
          <w:rFonts w:hint="eastAsia" w:ascii="宋体" w:hAnsi="宋体"/>
          <w:sz w:val="24"/>
          <w:szCs w:val="24"/>
        </w:rPr>
        <w:t>联系人：{{乙方联系人}}</w:t>
      </w:r>
    </w:p>
    <w:p>
      <w:pPr>
        <w:spacing w:line="360" w:lineRule="auto"/>
        <w:rPr>
          <w:rFonts w:ascii="宋体" w:hAnsi="宋体"/>
          <w:sz w:val="24"/>
          <w:szCs w:val="24"/>
        </w:rPr>
      </w:pPr>
      <w:r>
        <w:rPr>
          <w:rFonts w:hint="eastAsia" w:ascii="宋体" w:hAnsi="宋体"/>
          <w:sz w:val="24"/>
          <w:szCs w:val="24"/>
        </w:rPr>
        <w:t>联系电话：{{乙方电话}}</w:t>
      </w:r>
    </w:p>
    <w:p>
      <w:pPr>
        <w:spacing w:line="360" w:lineRule="auto"/>
        <w:rPr>
          <w:rFonts w:ascii="宋体" w:hAnsi="宋体"/>
          <w:sz w:val="24"/>
          <w:szCs w:val="24"/>
        </w:rPr>
      </w:pPr>
      <w:r>
        <w:rPr>
          <w:rFonts w:hint="eastAsia" w:ascii="宋体" w:hAnsi="宋体"/>
          <w:sz w:val="24"/>
          <w:szCs w:val="24"/>
        </w:rPr>
        <w:t>电子邮箱：{{乙方邮件}}</w:t>
      </w:r>
    </w:p>
    <w:p>
      <w:pPr>
        <w:spacing w:line="360" w:lineRule="auto"/>
        <w:rPr>
          <w:rFonts w:ascii="宋体" w:hAnsi="宋体"/>
          <w:sz w:val="24"/>
          <w:szCs w:val="24"/>
        </w:rPr>
      </w:pPr>
      <w:r>
        <w:rPr>
          <w:rFonts w:hint="eastAsia" w:ascii="宋体" w:hAnsi="宋体"/>
          <w:sz w:val="24"/>
          <w:szCs w:val="24"/>
        </w:rPr>
        <w:t>3.3双</w:t>
      </w:r>
      <w:r>
        <w:rPr>
          <w:rFonts w:ascii="宋体" w:hAnsi="宋体"/>
          <w:sz w:val="24"/>
          <w:szCs w:val="24"/>
        </w:rPr>
        <w:t>方确认办理本</w:t>
      </w:r>
      <w:r>
        <w:rPr>
          <w:rFonts w:ascii="宋体" w:hAnsi="宋体"/>
          <w:b/>
          <w:sz w:val="24"/>
          <w:szCs w:val="24"/>
        </w:rPr>
        <w:t>交易</w:t>
      </w:r>
      <w:r>
        <w:rPr>
          <w:rFonts w:ascii="宋体" w:hAnsi="宋体"/>
          <w:sz w:val="24"/>
          <w:szCs w:val="24"/>
        </w:rPr>
        <w:t>符合</w:t>
      </w:r>
      <w:r>
        <w:rPr>
          <w:rFonts w:hint="eastAsia" w:ascii="宋体" w:hAnsi="宋体"/>
          <w:sz w:val="24"/>
          <w:szCs w:val="24"/>
        </w:rPr>
        <w:t>己</w:t>
      </w:r>
      <w:r>
        <w:rPr>
          <w:rFonts w:ascii="宋体" w:hAnsi="宋体"/>
          <w:sz w:val="24"/>
          <w:szCs w:val="24"/>
        </w:rPr>
        <w:t>方的交易目的。</w:t>
      </w:r>
      <w:r>
        <w:rPr>
          <w:rFonts w:hint="eastAsia" w:ascii="宋体" w:hAnsi="宋体"/>
          <w:sz w:val="24"/>
          <w:szCs w:val="24"/>
        </w:rPr>
        <w:t>双</w:t>
      </w:r>
      <w:r>
        <w:rPr>
          <w:rFonts w:ascii="宋体" w:hAnsi="宋体"/>
          <w:sz w:val="24"/>
          <w:szCs w:val="24"/>
        </w:rPr>
        <w:t>方经自主和独立判断，已经完全理解本交易的条款和各种隐含风险，及</w:t>
      </w:r>
      <w:r>
        <w:rPr>
          <w:rFonts w:hint="eastAsia" w:ascii="宋体" w:hAnsi="宋体"/>
          <w:sz w:val="24"/>
          <w:szCs w:val="24"/>
        </w:rPr>
        <w:t>其在</w:t>
      </w:r>
      <w:r>
        <w:rPr>
          <w:rFonts w:ascii="宋体" w:hAnsi="宋体"/>
          <w:sz w:val="24"/>
          <w:szCs w:val="24"/>
        </w:rPr>
        <w:t>本</w:t>
      </w:r>
      <w:r>
        <w:rPr>
          <w:rFonts w:ascii="宋体" w:hAnsi="宋体"/>
          <w:b/>
          <w:sz w:val="24"/>
          <w:szCs w:val="24"/>
        </w:rPr>
        <w:t>交易</w:t>
      </w:r>
      <w:r>
        <w:rPr>
          <w:rFonts w:hint="eastAsia" w:ascii="宋体" w:hAnsi="宋体"/>
          <w:sz w:val="24"/>
          <w:szCs w:val="24"/>
        </w:rPr>
        <w:t>下可能出现</w:t>
      </w:r>
      <w:r>
        <w:rPr>
          <w:rFonts w:ascii="宋体" w:hAnsi="宋体"/>
          <w:sz w:val="24"/>
          <w:szCs w:val="24"/>
        </w:rPr>
        <w:t>的最差情况及最大潜在亏损，并对此具有足够的承受能力。</w:t>
      </w:r>
    </w:p>
    <w:p>
      <w:pPr>
        <w:spacing w:line="360" w:lineRule="auto"/>
        <w:rPr>
          <w:rFonts w:ascii="宋体" w:hAnsi="宋体"/>
          <w:sz w:val="24"/>
          <w:szCs w:val="24"/>
        </w:rPr>
      </w:pPr>
      <w:r>
        <w:rPr>
          <w:rFonts w:hint="eastAsia" w:ascii="宋体" w:hAnsi="宋体"/>
          <w:sz w:val="24"/>
          <w:szCs w:val="24"/>
        </w:rPr>
        <w:t>3.4关于标的收盘价（点）的约定</w:t>
      </w:r>
      <w:bookmarkStart w:id="1" w:name="OLE_LINK2"/>
    </w:p>
    <w:bookmarkEnd w:id="1"/>
    <w:p>
      <w:pPr>
        <w:spacing w:line="360" w:lineRule="auto"/>
        <w:ind w:firstLine="480" w:firstLineChars="200"/>
        <w:rPr>
          <w:rFonts w:ascii="宋体" w:hAnsi="宋体"/>
          <w:sz w:val="24"/>
          <w:szCs w:val="24"/>
        </w:rPr>
      </w:pPr>
      <w:r>
        <w:rPr>
          <w:rFonts w:hint="eastAsia" w:ascii="宋体" w:hAnsi="宋体"/>
          <w:sz w:val="24"/>
          <w:szCs w:val="24"/>
        </w:rPr>
        <w:t>标的收盘价（点）为每日中证指数有限公司公布的标的收盘价（点），并按照四舍五入法精确到小数点后两位，标的的代码为“000905”。如果届时约定的数据提供商不能给出标的的收盘价（点），甲方本着公平、公正、公允的原则，选择市场认可的合理价格水平进行计算。</w:t>
      </w:r>
    </w:p>
    <w:p>
      <w:pPr>
        <w:spacing w:line="360" w:lineRule="auto"/>
        <w:ind w:left="240" w:hanging="240" w:hangingChars="100"/>
        <w:rPr>
          <w:rFonts w:ascii="宋体" w:hAnsi="宋体"/>
          <w:sz w:val="24"/>
          <w:szCs w:val="24"/>
        </w:rPr>
      </w:pPr>
      <w:r>
        <w:rPr>
          <w:rFonts w:hint="eastAsia" w:ascii="宋体" w:hAnsi="宋体"/>
          <w:sz w:val="24"/>
          <w:szCs w:val="24"/>
        </w:rPr>
        <w:t>参照网页：</w:t>
      </w:r>
      <w:r>
        <w:fldChar w:fldCharType="begin"/>
      </w:r>
      <w:r>
        <w:instrText xml:space="preserve"> HYPERLINK "http://www.csindex.com.cn/zh-CN/indices/index-detail/000905" </w:instrText>
      </w:r>
      <w:r>
        <w:fldChar w:fldCharType="separate"/>
      </w:r>
      <w:r>
        <w:rPr>
          <w:rStyle w:val="13"/>
          <w:rFonts w:hint="eastAsia" w:ascii="宋体" w:hAnsi="宋体"/>
          <w:sz w:val="24"/>
          <w:szCs w:val="24"/>
        </w:rPr>
        <w:t>http://www.csindex.com.cn/zh-CN/indices/index-detail/000905</w:t>
      </w:r>
      <w:r>
        <w:rPr>
          <w:rStyle w:val="13"/>
          <w:rFonts w:hint="eastAsia" w:ascii="宋体" w:hAnsi="宋体"/>
          <w:sz w:val="24"/>
          <w:szCs w:val="24"/>
        </w:rPr>
        <w:fldChar w:fldCharType="end"/>
      </w:r>
    </w:p>
    <w:p>
      <w:pPr>
        <w:spacing w:line="360" w:lineRule="auto"/>
        <w:ind w:left="241" w:hanging="241" w:hangingChars="100"/>
        <w:rPr>
          <w:rFonts w:ascii="宋体" w:hAnsi="宋体"/>
          <w:b/>
          <w:sz w:val="24"/>
          <w:szCs w:val="24"/>
        </w:rPr>
      </w:pPr>
      <w:r>
        <w:rPr>
          <w:rFonts w:ascii="宋体" w:hAnsi="宋体"/>
          <w:b/>
          <w:sz w:val="24"/>
          <w:szCs w:val="24"/>
        </w:rPr>
        <w:t>二</w:t>
      </w:r>
      <w:r>
        <w:rPr>
          <w:rFonts w:hint="eastAsia" w:ascii="宋体" w:hAnsi="宋体"/>
          <w:b/>
          <w:sz w:val="24"/>
          <w:szCs w:val="24"/>
        </w:rPr>
        <w:t>、</w:t>
      </w:r>
      <w:r>
        <w:rPr>
          <w:rFonts w:ascii="宋体" w:hAnsi="宋体"/>
          <w:b/>
          <w:sz w:val="24"/>
          <w:szCs w:val="24"/>
        </w:rPr>
        <w:t>其他</w:t>
      </w:r>
    </w:p>
    <w:p>
      <w:pPr>
        <w:numPr>
          <w:ilvl w:val="2"/>
          <w:numId w:val="2"/>
        </w:numPr>
        <w:spacing w:line="360" w:lineRule="auto"/>
        <w:ind w:left="425" w:hanging="424" w:hangingChars="177"/>
        <w:rPr>
          <w:rFonts w:ascii="宋体" w:hAnsi="宋体"/>
          <w:sz w:val="24"/>
          <w:szCs w:val="24"/>
        </w:rPr>
      </w:pPr>
      <w:r>
        <w:rPr>
          <w:rFonts w:ascii="宋体" w:hAnsi="宋体"/>
          <w:sz w:val="24"/>
          <w:szCs w:val="24"/>
        </w:rPr>
        <w:t>双方确认，签署本确认书的相关人员均具有合法有效授权。</w:t>
      </w:r>
    </w:p>
    <w:p>
      <w:pPr>
        <w:numPr>
          <w:ilvl w:val="2"/>
          <w:numId w:val="2"/>
        </w:numPr>
        <w:spacing w:line="360" w:lineRule="auto"/>
        <w:ind w:left="425" w:hanging="424" w:hangingChars="177"/>
        <w:rPr>
          <w:rFonts w:ascii="宋体" w:hAnsi="宋体"/>
          <w:sz w:val="24"/>
          <w:szCs w:val="24"/>
        </w:rPr>
      </w:pPr>
      <w:r>
        <w:rPr>
          <w:rFonts w:hint="eastAsia" w:ascii="宋体" w:hAnsi="宋体"/>
          <w:sz w:val="24"/>
          <w:szCs w:val="24"/>
        </w:rPr>
        <w:t>本确认书经甲乙双方法定代表人或授权代表签字或盖章并经公司授权的业务专用章或公司公章盖章后生效。</w:t>
      </w:r>
    </w:p>
    <w:p>
      <w:pPr>
        <w:numPr>
          <w:ilvl w:val="2"/>
          <w:numId w:val="2"/>
        </w:numPr>
        <w:spacing w:line="360" w:lineRule="auto"/>
        <w:ind w:left="425" w:hanging="424" w:hangingChars="177"/>
        <w:rPr>
          <w:rFonts w:ascii="宋体" w:hAnsi="宋体"/>
          <w:sz w:val="24"/>
          <w:szCs w:val="24"/>
        </w:rPr>
      </w:pPr>
      <w:r>
        <w:rPr>
          <w:rFonts w:ascii="宋体" w:hAnsi="宋体"/>
          <w:sz w:val="24"/>
          <w:szCs w:val="24"/>
        </w:rPr>
        <w:t>本确认书构成甲方和乙方就本交易达成的具有约束力的协议。本确认书取代在本确认书签署日期及之前就本交易而发送的任何其他交易承认或确认（如有），包括但不限于所有其他的书面确认、电话及口头确认。</w:t>
      </w:r>
    </w:p>
    <w:p>
      <w:pPr>
        <w:numPr>
          <w:ilvl w:val="2"/>
          <w:numId w:val="2"/>
        </w:numPr>
        <w:spacing w:line="360" w:lineRule="auto"/>
        <w:ind w:left="425" w:hanging="424" w:hangingChars="177"/>
        <w:rPr>
          <w:rFonts w:ascii="宋体" w:hAnsi="宋体"/>
          <w:sz w:val="24"/>
          <w:szCs w:val="24"/>
        </w:rPr>
      </w:pPr>
      <w:r>
        <w:rPr>
          <w:rFonts w:ascii="宋体" w:hAnsi="宋体"/>
          <w:sz w:val="24"/>
          <w:szCs w:val="24"/>
        </w:rPr>
        <w:t>本确认书一式</w:t>
      </w:r>
      <w:r>
        <w:rPr>
          <w:rFonts w:hint="eastAsia" w:ascii="宋体" w:hAnsi="宋体"/>
          <w:sz w:val="24"/>
          <w:szCs w:val="24"/>
        </w:rPr>
        <w:t>肆</w:t>
      </w:r>
      <w:r>
        <w:rPr>
          <w:rFonts w:ascii="宋体" w:hAnsi="宋体"/>
          <w:sz w:val="24"/>
          <w:szCs w:val="24"/>
        </w:rPr>
        <w:t>份，双方各执</w:t>
      </w:r>
      <w:r>
        <w:rPr>
          <w:rFonts w:hint="eastAsia" w:ascii="宋体" w:hAnsi="宋体"/>
          <w:sz w:val="24"/>
          <w:szCs w:val="24"/>
        </w:rPr>
        <w:t>贰</w:t>
      </w:r>
      <w:r>
        <w:rPr>
          <w:rFonts w:ascii="宋体" w:hAnsi="宋体"/>
          <w:sz w:val="24"/>
          <w:szCs w:val="24"/>
        </w:rPr>
        <w:t>份，每份具有同等法律效力。</w:t>
      </w:r>
    </w:p>
    <w:p>
      <w:pPr>
        <w:spacing w:line="360" w:lineRule="auto"/>
        <w:rPr>
          <w:rFonts w:ascii="宋体" w:hAnsi="宋体"/>
          <w:sz w:val="24"/>
          <w:szCs w:val="24"/>
        </w:rPr>
      </w:pPr>
      <w:r>
        <w:rPr>
          <w:rFonts w:ascii="宋体" w:hAnsi="宋体"/>
          <w:sz w:val="24"/>
          <w:szCs w:val="24"/>
        </w:rPr>
        <w:t>（本页以下无正文）</w:t>
      </w:r>
    </w:p>
    <w:p>
      <w:pPr>
        <w:spacing w:line="360" w:lineRule="auto"/>
        <w:rPr>
          <w:rFonts w:ascii="宋体" w:hAnsi="宋体"/>
          <w:sz w:val="24"/>
          <w:szCs w:val="24"/>
        </w:rPr>
      </w:pPr>
      <w:r>
        <w:rPr>
          <w:rFonts w:ascii="宋体" w:hAnsi="宋体"/>
          <w:sz w:val="24"/>
          <w:szCs w:val="24"/>
        </w:rPr>
        <w:br w:type="page"/>
      </w:r>
      <w:bookmarkStart w:id="2" w:name="_PictureBullets"/>
      <w:bookmarkEnd w:id="2"/>
      <w:r>
        <w:rPr>
          <w:rFonts w:hint="eastAsia" w:ascii="宋体" w:hAnsi="宋体"/>
          <w:sz w:val="24"/>
          <w:szCs w:val="24"/>
        </w:rPr>
        <w:t>此页无正文，为《{{客户名称}}金融衍生品交易确认书》签署页。</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甲方：{{甲方}}（盖章）</w:t>
      </w:r>
    </w:p>
    <w:p>
      <w:pPr>
        <w:spacing w:before="156" w:beforeLines="50" w:line="360" w:lineRule="auto"/>
        <w:ind w:firstLine="480" w:firstLineChars="200"/>
        <w:rPr>
          <w:rFonts w:ascii="宋体" w:hAnsi="宋体"/>
          <w:sz w:val="24"/>
          <w:szCs w:val="24"/>
        </w:rPr>
      </w:pPr>
      <w:r>
        <w:rPr>
          <w:rFonts w:hint="eastAsia" w:ascii="宋体" w:hAnsi="宋体"/>
          <w:sz w:val="24"/>
          <w:szCs w:val="24"/>
        </w:rPr>
        <w:t>有权签字人（签章）：</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甲方确认已对本交易确认书进行了及时、认真的检查，并确认本交易确认书的上述内容正确地约定了甲乙双方就本交易所达成的条款和条件。</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乙方：{{乙方}}（盖章）</w:t>
      </w:r>
    </w:p>
    <w:p>
      <w:pPr>
        <w:spacing w:before="156" w:beforeLines="50" w:line="360" w:lineRule="auto"/>
        <w:ind w:firstLine="480" w:firstLineChars="200"/>
        <w:rPr>
          <w:rFonts w:ascii="宋体" w:hAnsi="宋体"/>
          <w:sz w:val="24"/>
          <w:szCs w:val="24"/>
        </w:rPr>
      </w:pPr>
      <w:r>
        <w:rPr>
          <w:rFonts w:hint="eastAsia" w:ascii="宋体" w:hAnsi="宋体"/>
          <w:sz w:val="24"/>
          <w:szCs w:val="24"/>
        </w:rPr>
        <w:t>有权签字人（签章）：</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乙方确认已对本交易确认书进行了及时、认真的检查，并确认本交易确认书的上述内容正确地约定了甲乙双方就本交易所达成的条款和条件。</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签署日期：</w:t>
      </w:r>
      <w:r>
        <w:rPr>
          <w:rFonts w:hint="eastAsia" w:ascii="宋体" w:hAnsi="宋体"/>
          <w:sz w:val="24"/>
          <w:szCs w:val="24"/>
          <w:lang w:val="en-US" w:eastAsia="zh-CN"/>
        </w:rPr>
        <w:t xml:space="preserve">    </w:t>
      </w:r>
      <w:r>
        <w:rPr>
          <w:rFonts w:ascii="宋体" w:hAnsi="宋体"/>
          <w:sz w:val="24"/>
          <w:szCs w:val="24"/>
        </w:rPr>
        <w:t>年</w:t>
      </w:r>
      <w:r>
        <w:rPr>
          <w:rFonts w:hint="eastAsia" w:ascii="宋体" w:hAnsi="宋体"/>
          <w:sz w:val="24"/>
          <w:szCs w:val="24"/>
          <w:lang w:val="en-US" w:eastAsia="zh-CN"/>
        </w:rPr>
        <w:t xml:space="preserve">  </w:t>
      </w:r>
      <w:r>
        <w:rPr>
          <w:rFonts w:ascii="宋体" w:hAnsi="宋体"/>
          <w:sz w:val="24"/>
          <w:szCs w:val="24"/>
        </w:rPr>
        <w:t>月</w:t>
      </w:r>
      <w:r>
        <w:rPr>
          <w:rFonts w:hint="eastAsia" w:ascii="宋体" w:hAnsi="宋体"/>
          <w:sz w:val="24"/>
          <w:szCs w:val="24"/>
          <w:lang w:val="en-US" w:eastAsia="zh-CN"/>
        </w:rPr>
        <w:t xml:space="preserve">  </w:t>
      </w:r>
      <w:r>
        <w:rPr>
          <w:rFonts w:ascii="宋体" w:hAnsi="宋体"/>
          <w:sz w:val="24"/>
          <w:szCs w:val="24"/>
        </w:rPr>
        <w:t>日</w:t>
      </w:r>
    </w:p>
    <w:p>
      <w:pPr>
        <w:spacing w:before="156" w:beforeLines="50" w:line="360" w:lineRule="auto"/>
        <w:ind w:firstLine="420" w:firstLineChars="200"/>
        <w:rPr>
          <w:rFonts w:ascii="宋体" w:hAnsi="宋体"/>
        </w:rPr>
      </w:pPr>
    </w:p>
    <w:sectPr>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jc w:val="left"/>
        <w:rPr>
          <w:rFonts w:ascii="宋体" w:hAnsi="宋体" w:cs="宋体"/>
          <w:color w:val="000000"/>
          <w:kern w:val="0"/>
          <w:sz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C7F52"/>
    <w:multiLevelType w:val="multilevel"/>
    <w:tmpl w:val="01DC7F52"/>
    <w:lvl w:ilvl="0" w:tentative="0">
      <w:start w:val="1"/>
      <w:numFmt w:val="japaneseCounting"/>
      <w:lvlText w:val="%1、"/>
      <w:lvlJc w:val="left"/>
      <w:pPr>
        <w:tabs>
          <w:tab w:val="left" w:pos="480"/>
        </w:tabs>
        <w:ind w:left="480" w:hanging="480"/>
      </w:pPr>
      <w:rPr>
        <w:rFonts w:hint="eastAsia" w:eastAsia="楷体_GB2312"/>
      </w:rPr>
    </w:lvl>
    <w:lvl w:ilvl="1" w:tentative="0">
      <w:start w:val="2"/>
      <w:numFmt w:val="decimal"/>
      <w:lvlText w:val="%2、"/>
      <w:lvlJc w:val="left"/>
      <w:pPr>
        <w:ind w:left="780" w:hanging="360"/>
      </w:pPr>
      <w:rPr>
        <w:rFonts w:hint="default"/>
      </w:rPr>
    </w:lvl>
    <w:lvl w:ilvl="2" w:tentative="0">
      <w:start w:val="1"/>
      <w:numFmt w:val="decimal"/>
      <w:lvlText w:val="%3．"/>
      <w:lvlJc w:val="left"/>
      <w:pPr>
        <w:ind w:left="36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9786E01"/>
    <w:multiLevelType w:val="multilevel"/>
    <w:tmpl w:val="39786E01"/>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4"/>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3"/>
    <w:rsid w:val="000008E4"/>
    <w:rsid w:val="00000BE8"/>
    <w:rsid w:val="00000F1B"/>
    <w:rsid w:val="0000382E"/>
    <w:rsid w:val="000046E7"/>
    <w:rsid w:val="00011ADA"/>
    <w:rsid w:val="00011F98"/>
    <w:rsid w:val="0001215D"/>
    <w:rsid w:val="00012D65"/>
    <w:rsid w:val="00012E8E"/>
    <w:rsid w:val="000131EF"/>
    <w:rsid w:val="000165B5"/>
    <w:rsid w:val="00022BEF"/>
    <w:rsid w:val="00022FFC"/>
    <w:rsid w:val="00023CBE"/>
    <w:rsid w:val="00024857"/>
    <w:rsid w:val="0003049E"/>
    <w:rsid w:val="00030F7A"/>
    <w:rsid w:val="00031C6B"/>
    <w:rsid w:val="00031CC2"/>
    <w:rsid w:val="00031D08"/>
    <w:rsid w:val="00031E5C"/>
    <w:rsid w:val="000320D8"/>
    <w:rsid w:val="0003424F"/>
    <w:rsid w:val="00034E9F"/>
    <w:rsid w:val="00035229"/>
    <w:rsid w:val="00036BD0"/>
    <w:rsid w:val="00036E55"/>
    <w:rsid w:val="000379CC"/>
    <w:rsid w:val="00040CEE"/>
    <w:rsid w:val="00041F8C"/>
    <w:rsid w:val="000440EE"/>
    <w:rsid w:val="000442E3"/>
    <w:rsid w:val="000476D4"/>
    <w:rsid w:val="0005158B"/>
    <w:rsid w:val="0005184F"/>
    <w:rsid w:val="00051DB5"/>
    <w:rsid w:val="00056B72"/>
    <w:rsid w:val="000607D5"/>
    <w:rsid w:val="000632A6"/>
    <w:rsid w:val="00067603"/>
    <w:rsid w:val="00070A5E"/>
    <w:rsid w:val="000727E5"/>
    <w:rsid w:val="000743B5"/>
    <w:rsid w:val="00074E2F"/>
    <w:rsid w:val="00075253"/>
    <w:rsid w:val="000752FC"/>
    <w:rsid w:val="00077C47"/>
    <w:rsid w:val="0008007F"/>
    <w:rsid w:val="00080B76"/>
    <w:rsid w:val="00082C98"/>
    <w:rsid w:val="000843D2"/>
    <w:rsid w:val="000866FD"/>
    <w:rsid w:val="000877C0"/>
    <w:rsid w:val="00087F09"/>
    <w:rsid w:val="00097769"/>
    <w:rsid w:val="000A071D"/>
    <w:rsid w:val="000A2893"/>
    <w:rsid w:val="000A35A6"/>
    <w:rsid w:val="000A59BA"/>
    <w:rsid w:val="000A5D2E"/>
    <w:rsid w:val="000A6632"/>
    <w:rsid w:val="000A77DB"/>
    <w:rsid w:val="000A7CE7"/>
    <w:rsid w:val="000B46FF"/>
    <w:rsid w:val="000B6730"/>
    <w:rsid w:val="000B7758"/>
    <w:rsid w:val="000C0287"/>
    <w:rsid w:val="000C4051"/>
    <w:rsid w:val="000C6D56"/>
    <w:rsid w:val="000D1DBA"/>
    <w:rsid w:val="000D5399"/>
    <w:rsid w:val="000D6A26"/>
    <w:rsid w:val="000D7746"/>
    <w:rsid w:val="000D7E90"/>
    <w:rsid w:val="000E2A76"/>
    <w:rsid w:val="000E33C1"/>
    <w:rsid w:val="000E3A25"/>
    <w:rsid w:val="000E3AD0"/>
    <w:rsid w:val="000E4A05"/>
    <w:rsid w:val="000E6D0B"/>
    <w:rsid w:val="000F00AA"/>
    <w:rsid w:val="000F056A"/>
    <w:rsid w:val="000F1961"/>
    <w:rsid w:val="000F45E1"/>
    <w:rsid w:val="000F4F13"/>
    <w:rsid w:val="000F7D99"/>
    <w:rsid w:val="00101236"/>
    <w:rsid w:val="00101476"/>
    <w:rsid w:val="00101FEF"/>
    <w:rsid w:val="0010266F"/>
    <w:rsid w:val="0010328F"/>
    <w:rsid w:val="001040A1"/>
    <w:rsid w:val="001044DD"/>
    <w:rsid w:val="00111C22"/>
    <w:rsid w:val="0011295B"/>
    <w:rsid w:val="00113EC4"/>
    <w:rsid w:val="001147BE"/>
    <w:rsid w:val="00115652"/>
    <w:rsid w:val="00115DCA"/>
    <w:rsid w:val="00115F0D"/>
    <w:rsid w:val="001173D2"/>
    <w:rsid w:val="00117EB1"/>
    <w:rsid w:val="00120753"/>
    <w:rsid w:val="001208C3"/>
    <w:rsid w:val="00120C8F"/>
    <w:rsid w:val="00121A30"/>
    <w:rsid w:val="00124FBB"/>
    <w:rsid w:val="00125102"/>
    <w:rsid w:val="00126339"/>
    <w:rsid w:val="00127AB5"/>
    <w:rsid w:val="00127C41"/>
    <w:rsid w:val="0013045F"/>
    <w:rsid w:val="0013140B"/>
    <w:rsid w:val="001320A8"/>
    <w:rsid w:val="00133DC1"/>
    <w:rsid w:val="00134BA5"/>
    <w:rsid w:val="0013790D"/>
    <w:rsid w:val="001401CA"/>
    <w:rsid w:val="001409DC"/>
    <w:rsid w:val="0014575D"/>
    <w:rsid w:val="001471F9"/>
    <w:rsid w:val="00154EDD"/>
    <w:rsid w:val="001560CA"/>
    <w:rsid w:val="0015733A"/>
    <w:rsid w:val="00157710"/>
    <w:rsid w:val="0016126E"/>
    <w:rsid w:val="00164785"/>
    <w:rsid w:val="001676CB"/>
    <w:rsid w:val="00170AFB"/>
    <w:rsid w:val="00171AA9"/>
    <w:rsid w:val="001733D1"/>
    <w:rsid w:val="00173EE6"/>
    <w:rsid w:val="00175984"/>
    <w:rsid w:val="00175B77"/>
    <w:rsid w:val="00175EAA"/>
    <w:rsid w:val="00180385"/>
    <w:rsid w:val="0018060D"/>
    <w:rsid w:val="00180BC1"/>
    <w:rsid w:val="00184723"/>
    <w:rsid w:val="00184D34"/>
    <w:rsid w:val="001874D5"/>
    <w:rsid w:val="001919C8"/>
    <w:rsid w:val="00192001"/>
    <w:rsid w:val="00192807"/>
    <w:rsid w:val="00192AFE"/>
    <w:rsid w:val="00195084"/>
    <w:rsid w:val="001951C5"/>
    <w:rsid w:val="001A1EBB"/>
    <w:rsid w:val="001A5AB6"/>
    <w:rsid w:val="001A5FB8"/>
    <w:rsid w:val="001A6322"/>
    <w:rsid w:val="001B00A9"/>
    <w:rsid w:val="001B00B8"/>
    <w:rsid w:val="001B0993"/>
    <w:rsid w:val="001B2D21"/>
    <w:rsid w:val="001B6BFD"/>
    <w:rsid w:val="001C0298"/>
    <w:rsid w:val="001C1B91"/>
    <w:rsid w:val="001C24DC"/>
    <w:rsid w:val="001C267F"/>
    <w:rsid w:val="001C2A0B"/>
    <w:rsid w:val="001C4296"/>
    <w:rsid w:val="001C4512"/>
    <w:rsid w:val="001C510A"/>
    <w:rsid w:val="001C5118"/>
    <w:rsid w:val="001C54C2"/>
    <w:rsid w:val="001C5C9D"/>
    <w:rsid w:val="001D1BD3"/>
    <w:rsid w:val="001D2DF8"/>
    <w:rsid w:val="001E1BC0"/>
    <w:rsid w:val="001E1E5B"/>
    <w:rsid w:val="001E239B"/>
    <w:rsid w:val="001E2DFF"/>
    <w:rsid w:val="001E4F36"/>
    <w:rsid w:val="001E5C01"/>
    <w:rsid w:val="001E6355"/>
    <w:rsid w:val="001E6620"/>
    <w:rsid w:val="001E6FC6"/>
    <w:rsid w:val="001E7F26"/>
    <w:rsid w:val="001F0799"/>
    <w:rsid w:val="001F09E6"/>
    <w:rsid w:val="001F251A"/>
    <w:rsid w:val="001F4648"/>
    <w:rsid w:val="001F577F"/>
    <w:rsid w:val="001F729B"/>
    <w:rsid w:val="0020002C"/>
    <w:rsid w:val="002016DB"/>
    <w:rsid w:val="00202649"/>
    <w:rsid w:val="002032BE"/>
    <w:rsid w:val="00203651"/>
    <w:rsid w:val="002038E1"/>
    <w:rsid w:val="0020395A"/>
    <w:rsid w:val="002073DA"/>
    <w:rsid w:val="00212DF8"/>
    <w:rsid w:val="00215435"/>
    <w:rsid w:val="00220F3E"/>
    <w:rsid w:val="00223436"/>
    <w:rsid w:val="0022344E"/>
    <w:rsid w:val="002246AF"/>
    <w:rsid w:val="00227E1B"/>
    <w:rsid w:val="002342EA"/>
    <w:rsid w:val="00234A1D"/>
    <w:rsid w:val="002372C9"/>
    <w:rsid w:val="002405C6"/>
    <w:rsid w:val="00241AFF"/>
    <w:rsid w:val="002426EA"/>
    <w:rsid w:val="00243E42"/>
    <w:rsid w:val="002442A6"/>
    <w:rsid w:val="002449CB"/>
    <w:rsid w:val="00245404"/>
    <w:rsid w:val="0024669B"/>
    <w:rsid w:val="00246E5A"/>
    <w:rsid w:val="00251229"/>
    <w:rsid w:val="00251D0A"/>
    <w:rsid w:val="00254BDC"/>
    <w:rsid w:val="00256278"/>
    <w:rsid w:val="00257DD7"/>
    <w:rsid w:val="00262DD7"/>
    <w:rsid w:val="00277CE9"/>
    <w:rsid w:val="002803E0"/>
    <w:rsid w:val="002807B8"/>
    <w:rsid w:val="00281572"/>
    <w:rsid w:val="00281579"/>
    <w:rsid w:val="002825E8"/>
    <w:rsid w:val="00285128"/>
    <w:rsid w:val="00286EEA"/>
    <w:rsid w:val="0028703F"/>
    <w:rsid w:val="00290C25"/>
    <w:rsid w:val="00291F10"/>
    <w:rsid w:val="0029246C"/>
    <w:rsid w:val="00292746"/>
    <w:rsid w:val="00296A18"/>
    <w:rsid w:val="002972AC"/>
    <w:rsid w:val="002977B3"/>
    <w:rsid w:val="002A0332"/>
    <w:rsid w:val="002A0CE8"/>
    <w:rsid w:val="002A2743"/>
    <w:rsid w:val="002A33C2"/>
    <w:rsid w:val="002A5C68"/>
    <w:rsid w:val="002B1E0C"/>
    <w:rsid w:val="002B21ED"/>
    <w:rsid w:val="002B2B48"/>
    <w:rsid w:val="002B2D07"/>
    <w:rsid w:val="002B3AC3"/>
    <w:rsid w:val="002B4AF8"/>
    <w:rsid w:val="002B6490"/>
    <w:rsid w:val="002B6E18"/>
    <w:rsid w:val="002B7184"/>
    <w:rsid w:val="002C14F2"/>
    <w:rsid w:val="002C2490"/>
    <w:rsid w:val="002C278B"/>
    <w:rsid w:val="002C3F9F"/>
    <w:rsid w:val="002C756F"/>
    <w:rsid w:val="002D0335"/>
    <w:rsid w:val="002D3BBB"/>
    <w:rsid w:val="002D4B0D"/>
    <w:rsid w:val="002E07D9"/>
    <w:rsid w:val="002E0EDA"/>
    <w:rsid w:val="002E2855"/>
    <w:rsid w:val="002E6A40"/>
    <w:rsid w:val="002E7847"/>
    <w:rsid w:val="002F06A6"/>
    <w:rsid w:val="002F077D"/>
    <w:rsid w:val="002F0785"/>
    <w:rsid w:val="002F23EA"/>
    <w:rsid w:val="002F3921"/>
    <w:rsid w:val="002F4ED7"/>
    <w:rsid w:val="002F5B81"/>
    <w:rsid w:val="00300995"/>
    <w:rsid w:val="00300B0D"/>
    <w:rsid w:val="00300B46"/>
    <w:rsid w:val="00300E66"/>
    <w:rsid w:val="00301318"/>
    <w:rsid w:val="00302622"/>
    <w:rsid w:val="00304EE5"/>
    <w:rsid w:val="00306732"/>
    <w:rsid w:val="003075D3"/>
    <w:rsid w:val="00310AC8"/>
    <w:rsid w:val="00311CC1"/>
    <w:rsid w:val="00312041"/>
    <w:rsid w:val="0031233B"/>
    <w:rsid w:val="00313D76"/>
    <w:rsid w:val="00313ECA"/>
    <w:rsid w:val="00315F80"/>
    <w:rsid w:val="00317B60"/>
    <w:rsid w:val="003205EC"/>
    <w:rsid w:val="0032067D"/>
    <w:rsid w:val="00320789"/>
    <w:rsid w:val="00322146"/>
    <w:rsid w:val="003225C0"/>
    <w:rsid w:val="00322D46"/>
    <w:rsid w:val="003246E5"/>
    <w:rsid w:val="00325545"/>
    <w:rsid w:val="00325F22"/>
    <w:rsid w:val="00327910"/>
    <w:rsid w:val="00327E85"/>
    <w:rsid w:val="00330E1A"/>
    <w:rsid w:val="00332104"/>
    <w:rsid w:val="003331A5"/>
    <w:rsid w:val="00334C67"/>
    <w:rsid w:val="003351EF"/>
    <w:rsid w:val="003359E8"/>
    <w:rsid w:val="00336247"/>
    <w:rsid w:val="003372C3"/>
    <w:rsid w:val="00337B35"/>
    <w:rsid w:val="00337FC8"/>
    <w:rsid w:val="00343277"/>
    <w:rsid w:val="003459A2"/>
    <w:rsid w:val="00346373"/>
    <w:rsid w:val="00350FE1"/>
    <w:rsid w:val="00352A29"/>
    <w:rsid w:val="00353629"/>
    <w:rsid w:val="00354018"/>
    <w:rsid w:val="00355D44"/>
    <w:rsid w:val="00356009"/>
    <w:rsid w:val="003561A5"/>
    <w:rsid w:val="00356B18"/>
    <w:rsid w:val="003602F0"/>
    <w:rsid w:val="003629CA"/>
    <w:rsid w:val="00362C8C"/>
    <w:rsid w:val="0036331B"/>
    <w:rsid w:val="00366D6F"/>
    <w:rsid w:val="003678AA"/>
    <w:rsid w:val="00367E45"/>
    <w:rsid w:val="00370741"/>
    <w:rsid w:val="00371409"/>
    <w:rsid w:val="003722C8"/>
    <w:rsid w:val="00372E57"/>
    <w:rsid w:val="00373BA2"/>
    <w:rsid w:val="0037470E"/>
    <w:rsid w:val="003752B7"/>
    <w:rsid w:val="00375A7F"/>
    <w:rsid w:val="00376234"/>
    <w:rsid w:val="00376665"/>
    <w:rsid w:val="0037765C"/>
    <w:rsid w:val="00381739"/>
    <w:rsid w:val="00381E66"/>
    <w:rsid w:val="003828E7"/>
    <w:rsid w:val="0038368C"/>
    <w:rsid w:val="0038643F"/>
    <w:rsid w:val="00387A67"/>
    <w:rsid w:val="0039470D"/>
    <w:rsid w:val="003A11AE"/>
    <w:rsid w:val="003A1D08"/>
    <w:rsid w:val="003A300A"/>
    <w:rsid w:val="003A3C45"/>
    <w:rsid w:val="003A4E4C"/>
    <w:rsid w:val="003A5C18"/>
    <w:rsid w:val="003A7F4D"/>
    <w:rsid w:val="003B20F1"/>
    <w:rsid w:val="003B3A90"/>
    <w:rsid w:val="003B40BA"/>
    <w:rsid w:val="003B42CF"/>
    <w:rsid w:val="003B5910"/>
    <w:rsid w:val="003B67A6"/>
    <w:rsid w:val="003C0DD2"/>
    <w:rsid w:val="003C255B"/>
    <w:rsid w:val="003C3C5B"/>
    <w:rsid w:val="003C77C4"/>
    <w:rsid w:val="003D1393"/>
    <w:rsid w:val="003D32D8"/>
    <w:rsid w:val="003D3CAE"/>
    <w:rsid w:val="003D5066"/>
    <w:rsid w:val="003D564F"/>
    <w:rsid w:val="003D7589"/>
    <w:rsid w:val="003D77DE"/>
    <w:rsid w:val="003D7B99"/>
    <w:rsid w:val="003E0CD9"/>
    <w:rsid w:val="003E1FE0"/>
    <w:rsid w:val="003E3B86"/>
    <w:rsid w:val="003E67A9"/>
    <w:rsid w:val="003E6932"/>
    <w:rsid w:val="003E768F"/>
    <w:rsid w:val="003E785C"/>
    <w:rsid w:val="003E78D2"/>
    <w:rsid w:val="003E7D79"/>
    <w:rsid w:val="003F14C4"/>
    <w:rsid w:val="003F23C4"/>
    <w:rsid w:val="003F25B1"/>
    <w:rsid w:val="003F27E5"/>
    <w:rsid w:val="003F2EAD"/>
    <w:rsid w:val="003F7617"/>
    <w:rsid w:val="003F7F62"/>
    <w:rsid w:val="00400F28"/>
    <w:rsid w:val="004015BC"/>
    <w:rsid w:val="00404285"/>
    <w:rsid w:val="00405397"/>
    <w:rsid w:val="00405E38"/>
    <w:rsid w:val="004075C2"/>
    <w:rsid w:val="004110FD"/>
    <w:rsid w:val="00412222"/>
    <w:rsid w:val="004122EB"/>
    <w:rsid w:val="00413667"/>
    <w:rsid w:val="0041534E"/>
    <w:rsid w:val="0041594F"/>
    <w:rsid w:val="00416637"/>
    <w:rsid w:val="004174E6"/>
    <w:rsid w:val="00420DE0"/>
    <w:rsid w:val="00421072"/>
    <w:rsid w:val="00421D34"/>
    <w:rsid w:val="00423FAB"/>
    <w:rsid w:val="0042551F"/>
    <w:rsid w:val="00425682"/>
    <w:rsid w:val="00425ABD"/>
    <w:rsid w:val="00426260"/>
    <w:rsid w:val="0042632B"/>
    <w:rsid w:val="004333B8"/>
    <w:rsid w:val="00433E1A"/>
    <w:rsid w:val="00436555"/>
    <w:rsid w:val="00436637"/>
    <w:rsid w:val="00437A3F"/>
    <w:rsid w:val="00442AAC"/>
    <w:rsid w:val="0044329F"/>
    <w:rsid w:val="00443658"/>
    <w:rsid w:val="00444128"/>
    <w:rsid w:val="004459C9"/>
    <w:rsid w:val="004508C5"/>
    <w:rsid w:val="00450963"/>
    <w:rsid w:val="00452309"/>
    <w:rsid w:val="0045362D"/>
    <w:rsid w:val="004558DC"/>
    <w:rsid w:val="0045687E"/>
    <w:rsid w:val="00462341"/>
    <w:rsid w:val="00462C6D"/>
    <w:rsid w:val="00464502"/>
    <w:rsid w:val="00464F43"/>
    <w:rsid w:val="0046717C"/>
    <w:rsid w:val="00467871"/>
    <w:rsid w:val="00470593"/>
    <w:rsid w:val="004710C5"/>
    <w:rsid w:val="004722A7"/>
    <w:rsid w:val="00474B9E"/>
    <w:rsid w:val="00475BB3"/>
    <w:rsid w:val="0048180C"/>
    <w:rsid w:val="00482403"/>
    <w:rsid w:val="00482EF0"/>
    <w:rsid w:val="00483155"/>
    <w:rsid w:val="004833A0"/>
    <w:rsid w:val="00483C99"/>
    <w:rsid w:val="0048710C"/>
    <w:rsid w:val="00487914"/>
    <w:rsid w:val="00487B15"/>
    <w:rsid w:val="00487FAE"/>
    <w:rsid w:val="0049145F"/>
    <w:rsid w:val="0049221C"/>
    <w:rsid w:val="00492274"/>
    <w:rsid w:val="00493D3E"/>
    <w:rsid w:val="004949D8"/>
    <w:rsid w:val="00497736"/>
    <w:rsid w:val="004A0620"/>
    <w:rsid w:val="004A0A50"/>
    <w:rsid w:val="004A0DCB"/>
    <w:rsid w:val="004A1F26"/>
    <w:rsid w:val="004A24E9"/>
    <w:rsid w:val="004A2C03"/>
    <w:rsid w:val="004A5695"/>
    <w:rsid w:val="004A6C24"/>
    <w:rsid w:val="004B1F1A"/>
    <w:rsid w:val="004B2324"/>
    <w:rsid w:val="004B4332"/>
    <w:rsid w:val="004C181F"/>
    <w:rsid w:val="004C1CB1"/>
    <w:rsid w:val="004C2B0C"/>
    <w:rsid w:val="004C41D0"/>
    <w:rsid w:val="004C47B0"/>
    <w:rsid w:val="004C5F14"/>
    <w:rsid w:val="004C6195"/>
    <w:rsid w:val="004C6A22"/>
    <w:rsid w:val="004C741F"/>
    <w:rsid w:val="004D0050"/>
    <w:rsid w:val="004D362B"/>
    <w:rsid w:val="004D473F"/>
    <w:rsid w:val="004E0489"/>
    <w:rsid w:val="004E1311"/>
    <w:rsid w:val="004E1615"/>
    <w:rsid w:val="004E17FF"/>
    <w:rsid w:val="004E3493"/>
    <w:rsid w:val="004E37CD"/>
    <w:rsid w:val="004E59A6"/>
    <w:rsid w:val="004E5A52"/>
    <w:rsid w:val="004E607C"/>
    <w:rsid w:val="004E6A4E"/>
    <w:rsid w:val="004E7BF1"/>
    <w:rsid w:val="004E7EC8"/>
    <w:rsid w:val="004F133D"/>
    <w:rsid w:val="004F1C2C"/>
    <w:rsid w:val="004F1F66"/>
    <w:rsid w:val="004F298B"/>
    <w:rsid w:val="004F323B"/>
    <w:rsid w:val="004F45F4"/>
    <w:rsid w:val="004F4B4E"/>
    <w:rsid w:val="004F4E18"/>
    <w:rsid w:val="004F4F09"/>
    <w:rsid w:val="004F56C4"/>
    <w:rsid w:val="004F5B12"/>
    <w:rsid w:val="00501289"/>
    <w:rsid w:val="005016B7"/>
    <w:rsid w:val="005018EC"/>
    <w:rsid w:val="00502532"/>
    <w:rsid w:val="00503D3A"/>
    <w:rsid w:val="00506449"/>
    <w:rsid w:val="00510106"/>
    <w:rsid w:val="0051173E"/>
    <w:rsid w:val="0051483E"/>
    <w:rsid w:val="00514E36"/>
    <w:rsid w:val="00520F1A"/>
    <w:rsid w:val="0052143C"/>
    <w:rsid w:val="005214FE"/>
    <w:rsid w:val="00521AB3"/>
    <w:rsid w:val="00521BC8"/>
    <w:rsid w:val="00521F8B"/>
    <w:rsid w:val="00522119"/>
    <w:rsid w:val="005239DF"/>
    <w:rsid w:val="00523D8C"/>
    <w:rsid w:val="005246DB"/>
    <w:rsid w:val="005270C4"/>
    <w:rsid w:val="0052741A"/>
    <w:rsid w:val="005279A1"/>
    <w:rsid w:val="00531749"/>
    <w:rsid w:val="0053242A"/>
    <w:rsid w:val="00532A59"/>
    <w:rsid w:val="00533E28"/>
    <w:rsid w:val="00537C73"/>
    <w:rsid w:val="005417B3"/>
    <w:rsid w:val="00542CD5"/>
    <w:rsid w:val="0054363E"/>
    <w:rsid w:val="005437D3"/>
    <w:rsid w:val="00545059"/>
    <w:rsid w:val="00545854"/>
    <w:rsid w:val="00550E0C"/>
    <w:rsid w:val="00554983"/>
    <w:rsid w:val="00554F84"/>
    <w:rsid w:val="00555142"/>
    <w:rsid w:val="005564F9"/>
    <w:rsid w:val="0056191B"/>
    <w:rsid w:val="00562043"/>
    <w:rsid w:val="0056254E"/>
    <w:rsid w:val="00563323"/>
    <w:rsid w:val="0056438F"/>
    <w:rsid w:val="00564B7A"/>
    <w:rsid w:val="00564E97"/>
    <w:rsid w:val="00564F55"/>
    <w:rsid w:val="00566661"/>
    <w:rsid w:val="00567A4C"/>
    <w:rsid w:val="0057130A"/>
    <w:rsid w:val="00572247"/>
    <w:rsid w:val="005820FC"/>
    <w:rsid w:val="00582199"/>
    <w:rsid w:val="00584787"/>
    <w:rsid w:val="00584E14"/>
    <w:rsid w:val="00585738"/>
    <w:rsid w:val="00590029"/>
    <w:rsid w:val="00590C3E"/>
    <w:rsid w:val="0059106E"/>
    <w:rsid w:val="00591D3B"/>
    <w:rsid w:val="00592F92"/>
    <w:rsid w:val="005947C6"/>
    <w:rsid w:val="00594889"/>
    <w:rsid w:val="00595A50"/>
    <w:rsid w:val="00596233"/>
    <w:rsid w:val="005A01F0"/>
    <w:rsid w:val="005A1C3D"/>
    <w:rsid w:val="005A2324"/>
    <w:rsid w:val="005A2808"/>
    <w:rsid w:val="005A3717"/>
    <w:rsid w:val="005A3E13"/>
    <w:rsid w:val="005A3E57"/>
    <w:rsid w:val="005A51AA"/>
    <w:rsid w:val="005A62D4"/>
    <w:rsid w:val="005A76B6"/>
    <w:rsid w:val="005A78D3"/>
    <w:rsid w:val="005A7922"/>
    <w:rsid w:val="005A7C5A"/>
    <w:rsid w:val="005B0776"/>
    <w:rsid w:val="005B0D1E"/>
    <w:rsid w:val="005B0DFF"/>
    <w:rsid w:val="005B17FF"/>
    <w:rsid w:val="005B1EEC"/>
    <w:rsid w:val="005B3795"/>
    <w:rsid w:val="005B5620"/>
    <w:rsid w:val="005B641E"/>
    <w:rsid w:val="005C313E"/>
    <w:rsid w:val="005C3A87"/>
    <w:rsid w:val="005C3C86"/>
    <w:rsid w:val="005C5A16"/>
    <w:rsid w:val="005C5EB0"/>
    <w:rsid w:val="005D4E83"/>
    <w:rsid w:val="005D6AB1"/>
    <w:rsid w:val="005E213E"/>
    <w:rsid w:val="005E2755"/>
    <w:rsid w:val="005E2E0E"/>
    <w:rsid w:val="005E332B"/>
    <w:rsid w:val="005E3739"/>
    <w:rsid w:val="005E4DFB"/>
    <w:rsid w:val="005E6213"/>
    <w:rsid w:val="005E65D6"/>
    <w:rsid w:val="005E6A52"/>
    <w:rsid w:val="005E7BEF"/>
    <w:rsid w:val="005F014A"/>
    <w:rsid w:val="005F2DAC"/>
    <w:rsid w:val="005F4B9A"/>
    <w:rsid w:val="005F4E2C"/>
    <w:rsid w:val="005F6499"/>
    <w:rsid w:val="006005A1"/>
    <w:rsid w:val="00600835"/>
    <w:rsid w:val="00603875"/>
    <w:rsid w:val="0060444C"/>
    <w:rsid w:val="00604593"/>
    <w:rsid w:val="006111EB"/>
    <w:rsid w:val="00613DAC"/>
    <w:rsid w:val="006149D9"/>
    <w:rsid w:val="00614D33"/>
    <w:rsid w:val="00617DBF"/>
    <w:rsid w:val="0062033D"/>
    <w:rsid w:val="00620646"/>
    <w:rsid w:val="006216D2"/>
    <w:rsid w:val="00621B76"/>
    <w:rsid w:val="00621CB7"/>
    <w:rsid w:val="0062219D"/>
    <w:rsid w:val="006230B9"/>
    <w:rsid w:val="0062318B"/>
    <w:rsid w:val="00623A8C"/>
    <w:rsid w:val="0062472D"/>
    <w:rsid w:val="006270F4"/>
    <w:rsid w:val="0063149C"/>
    <w:rsid w:val="0063240F"/>
    <w:rsid w:val="00633449"/>
    <w:rsid w:val="00634A47"/>
    <w:rsid w:val="006363A9"/>
    <w:rsid w:val="006410CF"/>
    <w:rsid w:val="00644285"/>
    <w:rsid w:val="00644367"/>
    <w:rsid w:val="006444D9"/>
    <w:rsid w:val="006457AC"/>
    <w:rsid w:val="00647824"/>
    <w:rsid w:val="0065014B"/>
    <w:rsid w:val="00653F37"/>
    <w:rsid w:val="00654D6A"/>
    <w:rsid w:val="00656CE0"/>
    <w:rsid w:val="00656E74"/>
    <w:rsid w:val="006621B1"/>
    <w:rsid w:val="006621EE"/>
    <w:rsid w:val="0066405A"/>
    <w:rsid w:val="0066479A"/>
    <w:rsid w:val="00665ADF"/>
    <w:rsid w:val="00666149"/>
    <w:rsid w:val="0066721D"/>
    <w:rsid w:val="00667467"/>
    <w:rsid w:val="0066769E"/>
    <w:rsid w:val="00671121"/>
    <w:rsid w:val="00671507"/>
    <w:rsid w:val="006733F0"/>
    <w:rsid w:val="00673755"/>
    <w:rsid w:val="00673C9B"/>
    <w:rsid w:val="0067782C"/>
    <w:rsid w:val="006779A1"/>
    <w:rsid w:val="00681A12"/>
    <w:rsid w:val="00681E14"/>
    <w:rsid w:val="006820AA"/>
    <w:rsid w:val="0068213A"/>
    <w:rsid w:val="00682815"/>
    <w:rsid w:val="00683139"/>
    <w:rsid w:val="00683DEA"/>
    <w:rsid w:val="00683FC7"/>
    <w:rsid w:val="006842C1"/>
    <w:rsid w:val="00685D67"/>
    <w:rsid w:val="00685E88"/>
    <w:rsid w:val="00686E48"/>
    <w:rsid w:val="006872C7"/>
    <w:rsid w:val="00692A71"/>
    <w:rsid w:val="0069530B"/>
    <w:rsid w:val="00695D70"/>
    <w:rsid w:val="006968E8"/>
    <w:rsid w:val="0069767F"/>
    <w:rsid w:val="006A4425"/>
    <w:rsid w:val="006A53D7"/>
    <w:rsid w:val="006B166B"/>
    <w:rsid w:val="006B27AC"/>
    <w:rsid w:val="006B3151"/>
    <w:rsid w:val="006B3E32"/>
    <w:rsid w:val="006B3E43"/>
    <w:rsid w:val="006B43F8"/>
    <w:rsid w:val="006B477A"/>
    <w:rsid w:val="006B52AC"/>
    <w:rsid w:val="006B55E5"/>
    <w:rsid w:val="006B5D98"/>
    <w:rsid w:val="006B6CDB"/>
    <w:rsid w:val="006B6D03"/>
    <w:rsid w:val="006B761E"/>
    <w:rsid w:val="006B7776"/>
    <w:rsid w:val="006C1D6A"/>
    <w:rsid w:val="006C1DA0"/>
    <w:rsid w:val="006C25ED"/>
    <w:rsid w:val="006C4F5E"/>
    <w:rsid w:val="006C507F"/>
    <w:rsid w:val="006C60DC"/>
    <w:rsid w:val="006C6B43"/>
    <w:rsid w:val="006C7231"/>
    <w:rsid w:val="006D13B2"/>
    <w:rsid w:val="006D1656"/>
    <w:rsid w:val="006D17FD"/>
    <w:rsid w:val="006D1BF6"/>
    <w:rsid w:val="006D1D17"/>
    <w:rsid w:val="006D283E"/>
    <w:rsid w:val="006D42CD"/>
    <w:rsid w:val="006D4AEA"/>
    <w:rsid w:val="006D6696"/>
    <w:rsid w:val="006D6A16"/>
    <w:rsid w:val="006D6CBA"/>
    <w:rsid w:val="006D7583"/>
    <w:rsid w:val="006E33A9"/>
    <w:rsid w:val="006E34DB"/>
    <w:rsid w:val="006E662E"/>
    <w:rsid w:val="006F17AC"/>
    <w:rsid w:val="006F2E39"/>
    <w:rsid w:val="006F4C4D"/>
    <w:rsid w:val="006F6587"/>
    <w:rsid w:val="006F78B7"/>
    <w:rsid w:val="007013D2"/>
    <w:rsid w:val="0070173C"/>
    <w:rsid w:val="00703252"/>
    <w:rsid w:val="00703FC0"/>
    <w:rsid w:val="007070CC"/>
    <w:rsid w:val="0071038A"/>
    <w:rsid w:val="00710839"/>
    <w:rsid w:val="00710CF8"/>
    <w:rsid w:val="00711CA7"/>
    <w:rsid w:val="0071438E"/>
    <w:rsid w:val="00714631"/>
    <w:rsid w:val="00716187"/>
    <w:rsid w:val="00716742"/>
    <w:rsid w:val="0071704C"/>
    <w:rsid w:val="00720980"/>
    <w:rsid w:val="00720C2E"/>
    <w:rsid w:val="00721BDB"/>
    <w:rsid w:val="00722ABF"/>
    <w:rsid w:val="007243C4"/>
    <w:rsid w:val="007253DF"/>
    <w:rsid w:val="00726594"/>
    <w:rsid w:val="007279DE"/>
    <w:rsid w:val="00731533"/>
    <w:rsid w:val="0073160C"/>
    <w:rsid w:val="0073181E"/>
    <w:rsid w:val="00731DF3"/>
    <w:rsid w:val="007327B9"/>
    <w:rsid w:val="007327C3"/>
    <w:rsid w:val="0073332C"/>
    <w:rsid w:val="00733B32"/>
    <w:rsid w:val="00735B61"/>
    <w:rsid w:val="00736886"/>
    <w:rsid w:val="00736AE9"/>
    <w:rsid w:val="00736F0B"/>
    <w:rsid w:val="007405CD"/>
    <w:rsid w:val="0074160F"/>
    <w:rsid w:val="007419EB"/>
    <w:rsid w:val="007433D1"/>
    <w:rsid w:val="007437FD"/>
    <w:rsid w:val="007441FC"/>
    <w:rsid w:val="007455D8"/>
    <w:rsid w:val="00746B7D"/>
    <w:rsid w:val="0075146A"/>
    <w:rsid w:val="00755459"/>
    <w:rsid w:val="00756283"/>
    <w:rsid w:val="00760061"/>
    <w:rsid w:val="00765052"/>
    <w:rsid w:val="00766D7C"/>
    <w:rsid w:val="00766F5A"/>
    <w:rsid w:val="007707BC"/>
    <w:rsid w:val="007747DD"/>
    <w:rsid w:val="007813B7"/>
    <w:rsid w:val="007822A9"/>
    <w:rsid w:val="00782B7C"/>
    <w:rsid w:val="007832A4"/>
    <w:rsid w:val="00783AB3"/>
    <w:rsid w:val="0079041F"/>
    <w:rsid w:val="0079111A"/>
    <w:rsid w:val="007915FB"/>
    <w:rsid w:val="00791A42"/>
    <w:rsid w:val="00791C94"/>
    <w:rsid w:val="0079237E"/>
    <w:rsid w:val="0079277E"/>
    <w:rsid w:val="00793AC3"/>
    <w:rsid w:val="00794169"/>
    <w:rsid w:val="0079713E"/>
    <w:rsid w:val="00797E3B"/>
    <w:rsid w:val="00797F0B"/>
    <w:rsid w:val="007A0572"/>
    <w:rsid w:val="007A119D"/>
    <w:rsid w:val="007A1FB4"/>
    <w:rsid w:val="007A530D"/>
    <w:rsid w:val="007A5F83"/>
    <w:rsid w:val="007A7BB9"/>
    <w:rsid w:val="007B1B7F"/>
    <w:rsid w:val="007B268D"/>
    <w:rsid w:val="007B2B80"/>
    <w:rsid w:val="007B2DCD"/>
    <w:rsid w:val="007B30F5"/>
    <w:rsid w:val="007B4AEA"/>
    <w:rsid w:val="007C2341"/>
    <w:rsid w:val="007C43AD"/>
    <w:rsid w:val="007C4552"/>
    <w:rsid w:val="007C530F"/>
    <w:rsid w:val="007C5A94"/>
    <w:rsid w:val="007C5EB0"/>
    <w:rsid w:val="007D0FEF"/>
    <w:rsid w:val="007D19B6"/>
    <w:rsid w:val="007D6BE9"/>
    <w:rsid w:val="007D6F08"/>
    <w:rsid w:val="007D7B85"/>
    <w:rsid w:val="007E0510"/>
    <w:rsid w:val="007E1017"/>
    <w:rsid w:val="007E1352"/>
    <w:rsid w:val="007E3F05"/>
    <w:rsid w:val="007E4BCC"/>
    <w:rsid w:val="007E6365"/>
    <w:rsid w:val="007E79E5"/>
    <w:rsid w:val="007E7C29"/>
    <w:rsid w:val="007F0223"/>
    <w:rsid w:val="007F074C"/>
    <w:rsid w:val="007F3440"/>
    <w:rsid w:val="007F670C"/>
    <w:rsid w:val="007F6838"/>
    <w:rsid w:val="007F70F2"/>
    <w:rsid w:val="00802350"/>
    <w:rsid w:val="008028E8"/>
    <w:rsid w:val="00805402"/>
    <w:rsid w:val="00810164"/>
    <w:rsid w:val="008112DE"/>
    <w:rsid w:val="00814536"/>
    <w:rsid w:val="008146C6"/>
    <w:rsid w:val="0081511D"/>
    <w:rsid w:val="00815B52"/>
    <w:rsid w:val="00816522"/>
    <w:rsid w:val="0081748D"/>
    <w:rsid w:val="00820A5B"/>
    <w:rsid w:val="00822C48"/>
    <w:rsid w:val="0082345C"/>
    <w:rsid w:val="00824A03"/>
    <w:rsid w:val="00827EC3"/>
    <w:rsid w:val="0083020E"/>
    <w:rsid w:val="00830447"/>
    <w:rsid w:val="008307C2"/>
    <w:rsid w:val="00830DD1"/>
    <w:rsid w:val="00831BF0"/>
    <w:rsid w:val="00832FF6"/>
    <w:rsid w:val="00833742"/>
    <w:rsid w:val="00834989"/>
    <w:rsid w:val="00836EED"/>
    <w:rsid w:val="0084321F"/>
    <w:rsid w:val="008433C4"/>
    <w:rsid w:val="00843400"/>
    <w:rsid w:val="00843879"/>
    <w:rsid w:val="00843FE8"/>
    <w:rsid w:val="00844275"/>
    <w:rsid w:val="00844572"/>
    <w:rsid w:val="008445C7"/>
    <w:rsid w:val="008446E9"/>
    <w:rsid w:val="00844B90"/>
    <w:rsid w:val="00846327"/>
    <w:rsid w:val="008466B5"/>
    <w:rsid w:val="0085077B"/>
    <w:rsid w:val="00851F0F"/>
    <w:rsid w:val="00853164"/>
    <w:rsid w:val="00853A04"/>
    <w:rsid w:val="00855E17"/>
    <w:rsid w:val="00855FC2"/>
    <w:rsid w:val="008572D1"/>
    <w:rsid w:val="0085794D"/>
    <w:rsid w:val="00857A90"/>
    <w:rsid w:val="008602EB"/>
    <w:rsid w:val="00860BC6"/>
    <w:rsid w:val="00862B73"/>
    <w:rsid w:val="00863226"/>
    <w:rsid w:val="00863CF9"/>
    <w:rsid w:val="00865521"/>
    <w:rsid w:val="00865C6E"/>
    <w:rsid w:val="008666F2"/>
    <w:rsid w:val="00866F01"/>
    <w:rsid w:val="00872187"/>
    <w:rsid w:val="008759A5"/>
    <w:rsid w:val="00876FF9"/>
    <w:rsid w:val="0088131B"/>
    <w:rsid w:val="0088232A"/>
    <w:rsid w:val="008826C3"/>
    <w:rsid w:val="008827FE"/>
    <w:rsid w:val="00884526"/>
    <w:rsid w:val="00885FF7"/>
    <w:rsid w:val="00886F41"/>
    <w:rsid w:val="008876C0"/>
    <w:rsid w:val="00887977"/>
    <w:rsid w:val="00890EB4"/>
    <w:rsid w:val="00891571"/>
    <w:rsid w:val="008927A3"/>
    <w:rsid w:val="00897242"/>
    <w:rsid w:val="008A24C5"/>
    <w:rsid w:val="008A24FA"/>
    <w:rsid w:val="008A312C"/>
    <w:rsid w:val="008A7B54"/>
    <w:rsid w:val="008B0414"/>
    <w:rsid w:val="008B26C1"/>
    <w:rsid w:val="008B3AF4"/>
    <w:rsid w:val="008B4833"/>
    <w:rsid w:val="008B6BE3"/>
    <w:rsid w:val="008B7942"/>
    <w:rsid w:val="008B7A3F"/>
    <w:rsid w:val="008C0254"/>
    <w:rsid w:val="008C10FE"/>
    <w:rsid w:val="008C161C"/>
    <w:rsid w:val="008C18C6"/>
    <w:rsid w:val="008C2A15"/>
    <w:rsid w:val="008C4267"/>
    <w:rsid w:val="008C4F18"/>
    <w:rsid w:val="008C66F8"/>
    <w:rsid w:val="008C6708"/>
    <w:rsid w:val="008D138A"/>
    <w:rsid w:val="008D2CAD"/>
    <w:rsid w:val="008D3194"/>
    <w:rsid w:val="008D47B3"/>
    <w:rsid w:val="008D5390"/>
    <w:rsid w:val="008D54A5"/>
    <w:rsid w:val="008D6D2F"/>
    <w:rsid w:val="008D737D"/>
    <w:rsid w:val="008D7F32"/>
    <w:rsid w:val="008E060E"/>
    <w:rsid w:val="008E0C8B"/>
    <w:rsid w:val="008E5CE4"/>
    <w:rsid w:val="008E6484"/>
    <w:rsid w:val="008E7899"/>
    <w:rsid w:val="008F017A"/>
    <w:rsid w:val="008F128E"/>
    <w:rsid w:val="008F3B4E"/>
    <w:rsid w:val="008F49DA"/>
    <w:rsid w:val="008F6029"/>
    <w:rsid w:val="00902697"/>
    <w:rsid w:val="00903C24"/>
    <w:rsid w:val="00904591"/>
    <w:rsid w:val="00904DF2"/>
    <w:rsid w:val="009055DE"/>
    <w:rsid w:val="0090629F"/>
    <w:rsid w:val="0090675B"/>
    <w:rsid w:val="0090684E"/>
    <w:rsid w:val="00907CC4"/>
    <w:rsid w:val="009114EB"/>
    <w:rsid w:val="0091274E"/>
    <w:rsid w:val="0091325A"/>
    <w:rsid w:val="00917069"/>
    <w:rsid w:val="00920580"/>
    <w:rsid w:val="009212F9"/>
    <w:rsid w:val="00924D08"/>
    <w:rsid w:val="009253C0"/>
    <w:rsid w:val="00932302"/>
    <w:rsid w:val="00932C3C"/>
    <w:rsid w:val="009341F8"/>
    <w:rsid w:val="0093473C"/>
    <w:rsid w:val="00934747"/>
    <w:rsid w:val="009347C7"/>
    <w:rsid w:val="00935740"/>
    <w:rsid w:val="009369B6"/>
    <w:rsid w:val="009369E6"/>
    <w:rsid w:val="0093722F"/>
    <w:rsid w:val="00937B8A"/>
    <w:rsid w:val="00940E28"/>
    <w:rsid w:val="00941389"/>
    <w:rsid w:val="00941D27"/>
    <w:rsid w:val="00942C0C"/>
    <w:rsid w:val="00943E9A"/>
    <w:rsid w:val="00944004"/>
    <w:rsid w:val="00944168"/>
    <w:rsid w:val="0094435A"/>
    <w:rsid w:val="00945541"/>
    <w:rsid w:val="00945C77"/>
    <w:rsid w:val="00945C96"/>
    <w:rsid w:val="0094679D"/>
    <w:rsid w:val="00950467"/>
    <w:rsid w:val="00950F8D"/>
    <w:rsid w:val="00951861"/>
    <w:rsid w:val="00953654"/>
    <w:rsid w:val="00953BD3"/>
    <w:rsid w:val="00953F25"/>
    <w:rsid w:val="00954605"/>
    <w:rsid w:val="0095481C"/>
    <w:rsid w:val="0095493E"/>
    <w:rsid w:val="0096154A"/>
    <w:rsid w:val="00961A8D"/>
    <w:rsid w:val="00962355"/>
    <w:rsid w:val="00963113"/>
    <w:rsid w:val="00964F54"/>
    <w:rsid w:val="00965F27"/>
    <w:rsid w:val="00966B8B"/>
    <w:rsid w:val="00966CEA"/>
    <w:rsid w:val="00971A9A"/>
    <w:rsid w:val="00973E55"/>
    <w:rsid w:val="0097484A"/>
    <w:rsid w:val="00975375"/>
    <w:rsid w:val="00975B0E"/>
    <w:rsid w:val="00975F8F"/>
    <w:rsid w:val="00975F9D"/>
    <w:rsid w:val="00981082"/>
    <w:rsid w:val="009813E3"/>
    <w:rsid w:val="00982B6F"/>
    <w:rsid w:val="00984294"/>
    <w:rsid w:val="009861E1"/>
    <w:rsid w:val="00986FD1"/>
    <w:rsid w:val="00987A74"/>
    <w:rsid w:val="00987A84"/>
    <w:rsid w:val="00990886"/>
    <w:rsid w:val="009912B5"/>
    <w:rsid w:val="00992400"/>
    <w:rsid w:val="009932D5"/>
    <w:rsid w:val="009944E4"/>
    <w:rsid w:val="00995418"/>
    <w:rsid w:val="0099630C"/>
    <w:rsid w:val="009964A6"/>
    <w:rsid w:val="00996DF6"/>
    <w:rsid w:val="009A4704"/>
    <w:rsid w:val="009A4A68"/>
    <w:rsid w:val="009A4E2A"/>
    <w:rsid w:val="009A58F8"/>
    <w:rsid w:val="009A648D"/>
    <w:rsid w:val="009A769E"/>
    <w:rsid w:val="009B3491"/>
    <w:rsid w:val="009B4FC7"/>
    <w:rsid w:val="009B5E02"/>
    <w:rsid w:val="009B6D69"/>
    <w:rsid w:val="009C00C5"/>
    <w:rsid w:val="009C095F"/>
    <w:rsid w:val="009C269C"/>
    <w:rsid w:val="009C437B"/>
    <w:rsid w:val="009C5402"/>
    <w:rsid w:val="009C5424"/>
    <w:rsid w:val="009C54C3"/>
    <w:rsid w:val="009C634D"/>
    <w:rsid w:val="009D0804"/>
    <w:rsid w:val="009D0DEB"/>
    <w:rsid w:val="009D5C26"/>
    <w:rsid w:val="009E0555"/>
    <w:rsid w:val="009E1838"/>
    <w:rsid w:val="009E25C0"/>
    <w:rsid w:val="009E32D5"/>
    <w:rsid w:val="009E4A44"/>
    <w:rsid w:val="009E4DBA"/>
    <w:rsid w:val="009E60C4"/>
    <w:rsid w:val="009F053E"/>
    <w:rsid w:val="009F2129"/>
    <w:rsid w:val="009F2C11"/>
    <w:rsid w:val="009F4F7C"/>
    <w:rsid w:val="009F55FC"/>
    <w:rsid w:val="009F6EB9"/>
    <w:rsid w:val="00A0014C"/>
    <w:rsid w:val="00A00720"/>
    <w:rsid w:val="00A01CBC"/>
    <w:rsid w:val="00A01EBD"/>
    <w:rsid w:val="00A053DB"/>
    <w:rsid w:val="00A0559A"/>
    <w:rsid w:val="00A05A57"/>
    <w:rsid w:val="00A05DC3"/>
    <w:rsid w:val="00A062AC"/>
    <w:rsid w:val="00A06F25"/>
    <w:rsid w:val="00A10998"/>
    <w:rsid w:val="00A13047"/>
    <w:rsid w:val="00A14218"/>
    <w:rsid w:val="00A14D46"/>
    <w:rsid w:val="00A153B0"/>
    <w:rsid w:val="00A158E0"/>
    <w:rsid w:val="00A160D3"/>
    <w:rsid w:val="00A16897"/>
    <w:rsid w:val="00A16D5F"/>
    <w:rsid w:val="00A176B5"/>
    <w:rsid w:val="00A20B50"/>
    <w:rsid w:val="00A21637"/>
    <w:rsid w:val="00A23BBF"/>
    <w:rsid w:val="00A23EBF"/>
    <w:rsid w:val="00A2663D"/>
    <w:rsid w:val="00A27156"/>
    <w:rsid w:val="00A304ED"/>
    <w:rsid w:val="00A3060A"/>
    <w:rsid w:val="00A3218D"/>
    <w:rsid w:val="00A36387"/>
    <w:rsid w:val="00A37054"/>
    <w:rsid w:val="00A3747D"/>
    <w:rsid w:val="00A37FC0"/>
    <w:rsid w:val="00A41EB6"/>
    <w:rsid w:val="00A45666"/>
    <w:rsid w:val="00A47026"/>
    <w:rsid w:val="00A51490"/>
    <w:rsid w:val="00A51D30"/>
    <w:rsid w:val="00A5619E"/>
    <w:rsid w:val="00A56D21"/>
    <w:rsid w:val="00A57A4D"/>
    <w:rsid w:val="00A60334"/>
    <w:rsid w:val="00A62CA0"/>
    <w:rsid w:val="00A631A2"/>
    <w:rsid w:val="00A634C6"/>
    <w:rsid w:val="00A635E6"/>
    <w:rsid w:val="00A63FEB"/>
    <w:rsid w:val="00A644E3"/>
    <w:rsid w:val="00A65E9A"/>
    <w:rsid w:val="00A67B41"/>
    <w:rsid w:val="00A700C8"/>
    <w:rsid w:val="00A713A8"/>
    <w:rsid w:val="00A75614"/>
    <w:rsid w:val="00A76BB3"/>
    <w:rsid w:val="00A77A67"/>
    <w:rsid w:val="00A77E15"/>
    <w:rsid w:val="00A811A4"/>
    <w:rsid w:val="00A811AA"/>
    <w:rsid w:val="00A81DCC"/>
    <w:rsid w:val="00A831C7"/>
    <w:rsid w:val="00A8357C"/>
    <w:rsid w:val="00A919C6"/>
    <w:rsid w:val="00A923B1"/>
    <w:rsid w:val="00A925FF"/>
    <w:rsid w:val="00A93AAB"/>
    <w:rsid w:val="00A94B81"/>
    <w:rsid w:val="00A963B2"/>
    <w:rsid w:val="00A979B4"/>
    <w:rsid w:val="00AA05DB"/>
    <w:rsid w:val="00AA0A8C"/>
    <w:rsid w:val="00AA4A14"/>
    <w:rsid w:val="00AB0D11"/>
    <w:rsid w:val="00AB2282"/>
    <w:rsid w:val="00AB4BB8"/>
    <w:rsid w:val="00AB518D"/>
    <w:rsid w:val="00AB5F85"/>
    <w:rsid w:val="00AB7EC5"/>
    <w:rsid w:val="00AC02DB"/>
    <w:rsid w:val="00AC1282"/>
    <w:rsid w:val="00AC12C2"/>
    <w:rsid w:val="00AC39D8"/>
    <w:rsid w:val="00AC506D"/>
    <w:rsid w:val="00AC7C3B"/>
    <w:rsid w:val="00AD12BB"/>
    <w:rsid w:val="00AD1393"/>
    <w:rsid w:val="00AD2F42"/>
    <w:rsid w:val="00AD4155"/>
    <w:rsid w:val="00AD471B"/>
    <w:rsid w:val="00AD4776"/>
    <w:rsid w:val="00AD672B"/>
    <w:rsid w:val="00AD6780"/>
    <w:rsid w:val="00AE3864"/>
    <w:rsid w:val="00AE457A"/>
    <w:rsid w:val="00AF11C4"/>
    <w:rsid w:val="00AF176E"/>
    <w:rsid w:val="00AF1E3E"/>
    <w:rsid w:val="00AF27A9"/>
    <w:rsid w:val="00AF32D5"/>
    <w:rsid w:val="00AF49D0"/>
    <w:rsid w:val="00AF7BBB"/>
    <w:rsid w:val="00AF7CD2"/>
    <w:rsid w:val="00B00CE2"/>
    <w:rsid w:val="00B01FF0"/>
    <w:rsid w:val="00B026D1"/>
    <w:rsid w:val="00B0483A"/>
    <w:rsid w:val="00B052CA"/>
    <w:rsid w:val="00B0640F"/>
    <w:rsid w:val="00B06A1D"/>
    <w:rsid w:val="00B06DDE"/>
    <w:rsid w:val="00B10634"/>
    <w:rsid w:val="00B10A11"/>
    <w:rsid w:val="00B11FB9"/>
    <w:rsid w:val="00B15355"/>
    <w:rsid w:val="00B1667A"/>
    <w:rsid w:val="00B16FD0"/>
    <w:rsid w:val="00B20032"/>
    <w:rsid w:val="00B212FE"/>
    <w:rsid w:val="00B2166F"/>
    <w:rsid w:val="00B21ED1"/>
    <w:rsid w:val="00B233A3"/>
    <w:rsid w:val="00B24546"/>
    <w:rsid w:val="00B323D8"/>
    <w:rsid w:val="00B33C34"/>
    <w:rsid w:val="00B33C73"/>
    <w:rsid w:val="00B36BF8"/>
    <w:rsid w:val="00B37030"/>
    <w:rsid w:val="00B402F2"/>
    <w:rsid w:val="00B4035A"/>
    <w:rsid w:val="00B40DFF"/>
    <w:rsid w:val="00B44AB7"/>
    <w:rsid w:val="00B4679E"/>
    <w:rsid w:val="00B50FDF"/>
    <w:rsid w:val="00B5238B"/>
    <w:rsid w:val="00B5293B"/>
    <w:rsid w:val="00B52B8D"/>
    <w:rsid w:val="00B5337A"/>
    <w:rsid w:val="00B542F0"/>
    <w:rsid w:val="00B54E02"/>
    <w:rsid w:val="00B55EAF"/>
    <w:rsid w:val="00B60376"/>
    <w:rsid w:val="00B62259"/>
    <w:rsid w:val="00B633F6"/>
    <w:rsid w:val="00B63426"/>
    <w:rsid w:val="00B64D51"/>
    <w:rsid w:val="00B65C7D"/>
    <w:rsid w:val="00B66909"/>
    <w:rsid w:val="00B75E30"/>
    <w:rsid w:val="00B760F8"/>
    <w:rsid w:val="00B7642D"/>
    <w:rsid w:val="00B80791"/>
    <w:rsid w:val="00B81581"/>
    <w:rsid w:val="00B81CB6"/>
    <w:rsid w:val="00B81EF8"/>
    <w:rsid w:val="00B82232"/>
    <w:rsid w:val="00B82D90"/>
    <w:rsid w:val="00B83398"/>
    <w:rsid w:val="00B83703"/>
    <w:rsid w:val="00B84448"/>
    <w:rsid w:val="00B86779"/>
    <w:rsid w:val="00B86A8F"/>
    <w:rsid w:val="00B870DE"/>
    <w:rsid w:val="00B87394"/>
    <w:rsid w:val="00B9110E"/>
    <w:rsid w:val="00B91966"/>
    <w:rsid w:val="00B91F0E"/>
    <w:rsid w:val="00B9219A"/>
    <w:rsid w:val="00B95A49"/>
    <w:rsid w:val="00B95F1D"/>
    <w:rsid w:val="00B965E9"/>
    <w:rsid w:val="00B96844"/>
    <w:rsid w:val="00B97BC8"/>
    <w:rsid w:val="00BA0958"/>
    <w:rsid w:val="00BA112F"/>
    <w:rsid w:val="00BA1B14"/>
    <w:rsid w:val="00BA5806"/>
    <w:rsid w:val="00BA5CCD"/>
    <w:rsid w:val="00BA6055"/>
    <w:rsid w:val="00BA62C4"/>
    <w:rsid w:val="00BB1720"/>
    <w:rsid w:val="00BB2F2F"/>
    <w:rsid w:val="00BB2FCB"/>
    <w:rsid w:val="00BB483B"/>
    <w:rsid w:val="00BB6C75"/>
    <w:rsid w:val="00BB7C07"/>
    <w:rsid w:val="00BC153B"/>
    <w:rsid w:val="00BC1BD0"/>
    <w:rsid w:val="00BC45BF"/>
    <w:rsid w:val="00BC5218"/>
    <w:rsid w:val="00BC6BD3"/>
    <w:rsid w:val="00BC7383"/>
    <w:rsid w:val="00BC754E"/>
    <w:rsid w:val="00BD0FB9"/>
    <w:rsid w:val="00BD2DBC"/>
    <w:rsid w:val="00BD49D1"/>
    <w:rsid w:val="00BD68F5"/>
    <w:rsid w:val="00BE0DB1"/>
    <w:rsid w:val="00BE0FA9"/>
    <w:rsid w:val="00BE38BE"/>
    <w:rsid w:val="00BE3907"/>
    <w:rsid w:val="00BE5CAF"/>
    <w:rsid w:val="00BE768B"/>
    <w:rsid w:val="00BF10CC"/>
    <w:rsid w:val="00BF526E"/>
    <w:rsid w:val="00BF6194"/>
    <w:rsid w:val="00C00F61"/>
    <w:rsid w:val="00C03988"/>
    <w:rsid w:val="00C07271"/>
    <w:rsid w:val="00C115CB"/>
    <w:rsid w:val="00C11697"/>
    <w:rsid w:val="00C138FE"/>
    <w:rsid w:val="00C13907"/>
    <w:rsid w:val="00C14395"/>
    <w:rsid w:val="00C14446"/>
    <w:rsid w:val="00C20484"/>
    <w:rsid w:val="00C207E9"/>
    <w:rsid w:val="00C21009"/>
    <w:rsid w:val="00C21157"/>
    <w:rsid w:val="00C24147"/>
    <w:rsid w:val="00C25043"/>
    <w:rsid w:val="00C268C3"/>
    <w:rsid w:val="00C2747A"/>
    <w:rsid w:val="00C33540"/>
    <w:rsid w:val="00C337F5"/>
    <w:rsid w:val="00C34576"/>
    <w:rsid w:val="00C354EA"/>
    <w:rsid w:val="00C373FF"/>
    <w:rsid w:val="00C4057A"/>
    <w:rsid w:val="00C41451"/>
    <w:rsid w:val="00C41F13"/>
    <w:rsid w:val="00C42BEC"/>
    <w:rsid w:val="00C42DAB"/>
    <w:rsid w:val="00C45202"/>
    <w:rsid w:val="00C4668C"/>
    <w:rsid w:val="00C4704E"/>
    <w:rsid w:val="00C470D2"/>
    <w:rsid w:val="00C47599"/>
    <w:rsid w:val="00C50BA4"/>
    <w:rsid w:val="00C525E5"/>
    <w:rsid w:val="00C538DC"/>
    <w:rsid w:val="00C542D2"/>
    <w:rsid w:val="00C56FF5"/>
    <w:rsid w:val="00C570D3"/>
    <w:rsid w:val="00C6247B"/>
    <w:rsid w:val="00C64850"/>
    <w:rsid w:val="00C6533F"/>
    <w:rsid w:val="00C663F1"/>
    <w:rsid w:val="00C700DF"/>
    <w:rsid w:val="00C71524"/>
    <w:rsid w:val="00C71561"/>
    <w:rsid w:val="00C737B0"/>
    <w:rsid w:val="00C7614D"/>
    <w:rsid w:val="00C769AA"/>
    <w:rsid w:val="00C77F24"/>
    <w:rsid w:val="00C80B27"/>
    <w:rsid w:val="00C82751"/>
    <w:rsid w:val="00C83E39"/>
    <w:rsid w:val="00C929CE"/>
    <w:rsid w:val="00C94555"/>
    <w:rsid w:val="00C94F77"/>
    <w:rsid w:val="00C956FB"/>
    <w:rsid w:val="00C95752"/>
    <w:rsid w:val="00C95D73"/>
    <w:rsid w:val="00C97FA6"/>
    <w:rsid w:val="00CA1677"/>
    <w:rsid w:val="00CA1B89"/>
    <w:rsid w:val="00CA1CA8"/>
    <w:rsid w:val="00CA2EC2"/>
    <w:rsid w:val="00CA4443"/>
    <w:rsid w:val="00CA4D39"/>
    <w:rsid w:val="00CB0F32"/>
    <w:rsid w:val="00CB38A6"/>
    <w:rsid w:val="00CB3ED1"/>
    <w:rsid w:val="00CB5118"/>
    <w:rsid w:val="00CB71D1"/>
    <w:rsid w:val="00CC0DC9"/>
    <w:rsid w:val="00CC20AE"/>
    <w:rsid w:val="00CC29CD"/>
    <w:rsid w:val="00CC2C11"/>
    <w:rsid w:val="00CC4EC2"/>
    <w:rsid w:val="00CC60B0"/>
    <w:rsid w:val="00CC6DBE"/>
    <w:rsid w:val="00CD23BC"/>
    <w:rsid w:val="00CD43B4"/>
    <w:rsid w:val="00CD462D"/>
    <w:rsid w:val="00CD59CB"/>
    <w:rsid w:val="00CD5A94"/>
    <w:rsid w:val="00CD7FB6"/>
    <w:rsid w:val="00CE1AE8"/>
    <w:rsid w:val="00CE4963"/>
    <w:rsid w:val="00CE6CDF"/>
    <w:rsid w:val="00CE7E22"/>
    <w:rsid w:val="00CF07E7"/>
    <w:rsid w:val="00CF0B0E"/>
    <w:rsid w:val="00CF1412"/>
    <w:rsid w:val="00CF3782"/>
    <w:rsid w:val="00CF4A67"/>
    <w:rsid w:val="00CF7EB7"/>
    <w:rsid w:val="00D005EE"/>
    <w:rsid w:val="00D013E6"/>
    <w:rsid w:val="00D020DE"/>
    <w:rsid w:val="00D03E4C"/>
    <w:rsid w:val="00D06BAE"/>
    <w:rsid w:val="00D116DF"/>
    <w:rsid w:val="00D138E0"/>
    <w:rsid w:val="00D15876"/>
    <w:rsid w:val="00D16877"/>
    <w:rsid w:val="00D1754C"/>
    <w:rsid w:val="00D26D22"/>
    <w:rsid w:val="00D33780"/>
    <w:rsid w:val="00D3477E"/>
    <w:rsid w:val="00D35EDD"/>
    <w:rsid w:val="00D41C66"/>
    <w:rsid w:val="00D4319D"/>
    <w:rsid w:val="00D44A06"/>
    <w:rsid w:val="00D4747B"/>
    <w:rsid w:val="00D50D95"/>
    <w:rsid w:val="00D512AC"/>
    <w:rsid w:val="00D51C14"/>
    <w:rsid w:val="00D51ECD"/>
    <w:rsid w:val="00D52003"/>
    <w:rsid w:val="00D53C89"/>
    <w:rsid w:val="00D549AA"/>
    <w:rsid w:val="00D60F06"/>
    <w:rsid w:val="00D6169E"/>
    <w:rsid w:val="00D617EF"/>
    <w:rsid w:val="00D629A5"/>
    <w:rsid w:val="00D63DCA"/>
    <w:rsid w:val="00D63E0C"/>
    <w:rsid w:val="00D652D1"/>
    <w:rsid w:val="00D65E47"/>
    <w:rsid w:val="00D724BE"/>
    <w:rsid w:val="00D72B20"/>
    <w:rsid w:val="00D73A09"/>
    <w:rsid w:val="00D73EEB"/>
    <w:rsid w:val="00D744D3"/>
    <w:rsid w:val="00D74EBB"/>
    <w:rsid w:val="00D751FF"/>
    <w:rsid w:val="00D77208"/>
    <w:rsid w:val="00D77AAF"/>
    <w:rsid w:val="00D8042C"/>
    <w:rsid w:val="00D82D87"/>
    <w:rsid w:val="00D84092"/>
    <w:rsid w:val="00D847BA"/>
    <w:rsid w:val="00D84B00"/>
    <w:rsid w:val="00D852BE"/>
    <w:rsid w:val="00D85AA0"/>
    <w:rsid w:val="00D92D27"/>
    <w:rsid w:val="00D93054"/>
    <w:rsid w:val="00D936B0"/>
    <w:rsid w:val="00D936EE"/>
    <w:rsid w:val="00D93DE8"/>
    <w:rsid w:val="00D96499"/>
    <w:rsid w:val="00D968CC"/>
    <w:rsid w:val="00D96CC5"/>
    <w:rsid w:val="00D97500"/>
    <w:rsid w:val="00DA1623"/>
    <w:rsid w:val="00DA1BF9"/>
    <w:rsid w:val="00DA2F87"/>
    <w:rsid w:val="00DA3DD3"/>
    <w:rsid w:val="00DA3F56"/>
    <w:rsid w:val="00DA5825"/>
    <w:rsid w:val="00DB02A8"/>
    <w:rsid w:val="00DB0FF5"/>
    <w:rsid w:val="00DB2F5E"/>
    <w:rsid w:val="00DB3FE1"/>
    <w:rsid w:val="00DB477F"/>
    <w:rsid w:val="00DB5EFF"/>
    <w:rsid w:val="00DB7061"/>
    <w:rsid w:val="00DC167A"/>
    <w:rsid w:val="00DC2A9B"/>
    <w:rsid w:val="00DC30F2"/>
    <w:rsid w:val="00DC433C"/>
    <w:rsid w:val="00DC473F"/>
    <w:rsid w:val="00DC54B0"/>
    <w:rsid w:val="00DC6CF4"/>
    <w:rsid w:val="00DC7E33"/>
    <w:rsid w:val="00DD11E9"/>
    <w:rsid w:val="00DD1DE2"/>
    <w:rsid w:val="00DD5A1A"/>
    <w:rsid w:val="00DE02E6"/>
    <w:rsid w:val="00DE057B"/>
    <w:rsid w:val="00DE123C"/>
    <w:rsid w:val="00DE25CB"/>
    <w:rsid w:val="00DE4C3B"/>
    <w:rsid w:val="00DE5C42"/>
    <w:rsid w:val="00DE7CA8"/>
    <w:rsid w:val="00DF09D9"/>
    <w:rsid w:val="00DF16D6"/>
    <w:rsid w:val="00DF2527"/>
    <w:rsid w:val="00DF2580"/>
    <w:rsid w:val="00DF5E7A"/>
    <w:rsid w:val="00E0044F"/>
    <w:rsid w:val="00E01D65"/>
    <w:rsid w:val="00E038B4"/>
    <w:rsid w:val="00E03AC4"/>
    <w:rsid w:val="00E0601D"/>
    <w:rsid w:val="00E074CE"/>
    <w:rsid w:val="00E07C96"/>
    <w:rsid w:val="00E118E7"/>
    <w:rsid w:val="00E13236"/>
    <w:rsid w:val="00E13795"/>
    <w:rsid w:val="00E13FDB"/>
    <w:rsid w:val="00E15A5C"/>
    <w:rsid w:val="00E15A96"/>
    <w:rsid w:val="00E170DE"/>
    <w:rsid w:val="00E20AAF"/>
    <w:rsid w:val="00E237AE"/>
    <w:rsid w:val="00E248C0"/>
    <w:rsid w:val="00E25DAB"/>
    <w:rsid w:val="00E305B5"/>
    <w:rsid w:val="00E31B39"/>
    <w:rsid w:val="00E31E66"/>
    <w:rsid w:val="00E331E1"/>
    <w:rsid w:val="00E4080E"/>
    <w:rsid w:val="00E410A2"/>
    <w:rsid w:val="00E44BC1"/>
    <w:rsid w:val="00E46EA1"/>
    <w:rsid w:val="00E47CA3"/>
    <w:rsid w:val="00E502D5"/>
    <w:rsid w:val="00E5290B"/>
    <w:rsid w:val="00E52CCD"/>
    <w:rsid w:val="00E54695"/>
    <w:rsid w:val="00E5542B"/>
    <w:rsid w:val="00E55E60"/>
    <w:rsid w:val="00E63A93"/>
    <w:rsid w:val="00E648EE"/>
    <w:rsid w:val="00E652A1"/>
    <w:rsid w:val="00E6556C"/>
    <w:rsid w:val="00E658E9"/>
    <w:rsid w:val="00E65D9D"/>
    <w:rsid w:val="00E661AB"/>
    <w:rsid w:val="00E661DE"/>
    <w:rsid w:val="00E67293"/>
    <w:rsid w:val="00E67CCC"/>
    <w:rsid w:val="00E702D5"/>
    <w:rsid w:val="00E705B8"/>
    <w:rsid w:val="00E733FB"/>
    <w:rsid w:val="00E76C9B"/>
    <w:rsid w:val="00E80F33"/>
    <w:rsid w:val="00E81D63"/>
    <w:rsid w:val="00E81DFD"/>
    <w:rsid w:val="00E840C2"/>
    <w:rsid w:val="00E84958"/>
    <w:rsid w:val="00E852BF"/>
    <w:rsid w:val="00E90C40"/>
    <w:rsid w:val="00E92559"/>
    <w:rsid w:val="00E9500C"/>
    <w:rsid w:val="00E95A6E"/>
    <w:rsid w:val="00E96418"/>
    <w:rsid w:val="00E9653D"/>
    <w:rsid w:val="00E9759C"/>
    <w:rsid w:val="00E97AD9"/>
    <w:rsid w:val="00EA2863"/>
    <w:rsid w:val="00EA5527"/>
    <w:rsid w:val="00EA6CB6"/>
    <w:rsid w:val="00EA795A"/>
    <w:rsid w:val="00EB046E"/>
    <w:rsid w:val="00EB50EB"/>
    <w:rsid w:val="00EB5C8B"/>
    <w:rsid w:val="00EB63FB"/>
    <w:rsid w:val="00EC07BF"/>
    <w:rsid w:val="00EC1831"/>
    <w:rsid w:val="00EC1A4D"/>
    <w:rsid w:val="00EC253C"/>
    <w:rsid w:val="00EC29EF"/>
    <w:rsid w:val="00EC3ABC"/>
    <w:rsid w:val="00EC3BFF"/>
    <w:rsid w:val="00EC5679"/>
    <w:rsid w:val="00EC6895"/>
    <w:rsid w:val="00EC6E6A"/>
    <w:rsid w:val="00EC6EF0"/>
    <w:rsid w:val="00ED0633"/>
    <w:rsid w:val="00ED2BF0"/>
    <w:rsid w:val="00ED4302"/>
    <w:rsid w:val="00ED7669"/>
    <w:rsid w:val="00EE063F"/>
    <w:rsid w:val="00EE163E"/>
    <w:rsid w:val="00EE2289"/>
    <w:rsid w:val="00EE4143"/>
    <w:rsid w:val="00EE4B1E"/>
    <w:rsid w:val="00EE4EEC"/>
    <w:rsid w:val="00EE5B81"/>
    <w:rsid w:val="00EF17C9"/>
    <w:rsid w:val="00EF2012"/>
    <w:rsid w:val="00EF2ED7"/>
    <w:rsid w:val="00EF35ED"/>
    <w:rsid w:val="00EF4796"/>
    <w:rsid w:val="00EF4E73"/>
    <w:rsid w:val="00EF7ABA"/>
    <w:rsid w:val="00EF7AE4"/>
    <w:rsid w:val="00F007A0"/>
    <w:rsid w:val="00F01050"/>
    <w:rsid w:val="00F01966"/>
    <w:rsid w:val="00F042B9"/>
    <w:rsid w:val="00F0669A"/>
    <w:rsid w:val="00F067EE"/>
    <w:rsid w:val="00F12003"/>
    <w:rsid w:val="00F1214B"/>
    <w:rsid w:val="00F12F83"/>
    <w:rsid w:val="00F13019"/>
    <w:rsid w:val="00F130B1"/>
    <w:rsid w:val="00F1464F"/>
    <w:rsid w:val="00F15157"/>
    <w:rsid w:val="00F15CDE"/>
    <w:rsid w:val="00F15F9F"/>
    <w:rsid w:val="00F2157A"/>
    <w:rsid w:val="00F22017"/>
    <w:rsid w:val="00F230AE"/>
    <w:rsid w:val="00F2345F"/>
    <w:rsid w:val="00F23817"/>
    <w:rsid w:val="00F24D60"/>
    <w:rsid w:val="00F2624A"/>
    <w:rsid w:val="00F300AF"/>
    <w:rsid w:val="00F32184"/>
    <w:rsid w:val="00F32ECF"/>
    <w:rsid w:val="00F339C2"/>
    <w:rsid w:val="00F360BD"/>
    <w:rsid w:val="00F36AE1"/>
    <w:rsid w:val="00F37EF1"/>
    <w:rsid w:val="00F44FF3"/>
    <w:rsid w:val="00F4592F"/>
    <w:rsid w:val="00F45BE4"/>
    <w:rsid w:val="00F466EA"/>
    <w:rsid w:val="00F5025F"/>
    <w:rsid w:val="00F51AE2"/>
    <w:rsid w:val="00F52829"/>
    <w:rsid w:val="00F52E81"/>
    <w:rsid w:val="00F55594"/>
    <w:rsid w:val="00F57117"/>
    <w:rsid w:val="00F5756F"/>
    <w:rsid w:val="00F576DD"/>
    <w:rsid w:val="00F60088"/>
    <w:rsid w:val="00F630E7"/>
    <w:rsid w:val="00F6371A"/>
    <w:rsid w:val="00F66B3A"/>
    <w:rsid w:val="00F676F1"/>
    <w:rsid w:val="00F709AB"/>
    <w:rsid w:val="00F72298"/>
    <w:rsid w:val="00F75349"/>
    <w:rsid w:val="00F75F40"/>
    <w:rsid w:val="00F76D02"/>
    <w:rsid w:val="00F833AE"/>
    <w:rsid w:val="00F83723"/>
    <w:rsid w:val="00F842F0"/>
    <w:rsid w:val="00F8444C"/>
    <w:rsid w:val="00F90F5B"/>
    <w:rsid w:val="00F91471"/>
    <w:rsid w:val="00F91A2E"/>
    <w:rsid w:val="00F91D29"/>
    <w:rsid w:val="00F938DD"/>
    <w:rsid w:val="00F93B68"/>
    <w:rsid w:val="00F95101"/>
    <w:rsid w:val="00F966FC"/>
    <w:rsid w:val="00FA0964"/>
    <w:rsid w:val="00FA73EB"/>
    <w:rsid w:val="00FB14CB"/>
    <w:rsid w:val="00FB1756"/>
    <w:rsid w:val="00FB19CC"/>
    <w:rsid w:val="00FB3C8D"/>
    <w:rsid w:val="00FB5E2D"/>
    <w:rsid w:val="00FC02C0"/>
    <w:rsid w:val="00FC0ED3"/>
    <w:rsid w:val="00FC157C"/>
    <w:rsid w:val="00FC44EE"/>
    <w:rsid w:val="00FC4D0D"/>
    <w:rsid w:val="00FC78AC"/>
    <w:rsid w:val="00FD0959"/>
    <w:rsid w:val="00FD108A"/>
    <w:rsid w:val="00FD14F2"/>
    <w:rsid w:val="00FD3728"/>
    <w:rsid w:val="00FD3AA3"/>
    <w:rsid w:val="00FD5927"/>
    <w:rsid w:val="00FE2A30"/>
    <w:rsid w:val="00FE3387"/>
    <w:rsid w:val="00FE3730"/>
    <w:rsid w:val="00FE527D"/>
    <w:rsid w:val="00FE6941"/>
    <w:rsid w:val="00FE7656"/>
    <w:rsid w:val="00FF14ED"/>
    <w:rsid w:val="00FF6A6C"/>
    <w:rsid w:val="042C3816"/>
    <w:rsid w:val="04E30CA1"/>
    <w:rsid w:val="068516F9"/>
    <w:rsid w:val="068F4489"/>
    <w:rsid w:val="0F964331"/>
    <w:rsid w:val="0FF94AE6"/>
    <w:rsid w:val="2150236B"/>
    <w:rsid w:val="21EA195A"/>
    <w:rsid w:val="249E3253"/>
    <w:rsid w:val="24B96346"/>
    <w:rsid w:val="25B43573"/>
    <w:rsid w:val="2AF8119C"/>
    <w:rsid w:val="313F277C"/>
    <w:rsid w:val="35B70D26"/>
    <w:rsid w:val="36F53BA6"/>
    <w:rsid w:val="3EF7085E"/>
    <w:rsid w:val="3FDE07C3"/>
    <w:rsid w:val="431071BD"/>
    <w:rsid w:val="46600401"/>
    <w:rsid w:val="48E53CCA"/>
    <w:rsid w:val="4F5B0919"/>
    <w:rsid w:val="501300E0"/>
    <w:rsid w:val="51A41D59"/>
    <w:rsid w:val="51EB009D"/>
    <w:rsid w:val="620D2EB8"/>
    <w:rsid w:val="68A96FA9"/>
    <w:rsid w:val="6CB030CC"/>
    <w:rsid w:val="6E591F9D"/>
    <w:rsid w:val="747D153F"/>
    <w:rsid w:val="773C30AF"/>
    <w:rsid w:val="776549A0"/>
    <w:rsid w:val="790008FA"/>
    <w:rsid w:val="7CCF6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semiHidden="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qFormat/>
    <w:uiPriority w:val="0"/>
    <w:pPr>
      <w:jc w:val="left"/>
    </w:pPr>
  </w:style>
  <w:style w:type="paragraph" w:styleId="3">
    <w:name w:val="Date"/>
    <w:basedOn w:val="1"/>
    <w:next w:val="1"/>
    <w:link w:val="22"/>
    <w:qFormat/>
    <w:uiPriority w:val="0"/>
    <w:pPr>
      <w:ind w:left="100" w:leftChars="2500"/>
    </w:pPr>
  </w:style>
  <w:style w:type="paragraph" w:styleId="4">
    <w:name w:val="Body Text Indent 2"/>
    <w:basedOn w:val="1"/>
    <w:link w:val="16"/>
    <w:qFormat/>
    <w:uiPriority w:val="0"/>
    <w:pPr>
      <w:spacing w:after="120" w:line="480" w:lineRule="auto"/>
      <w:ind w:left="420" w:leftChars="200"/>
    </w:pPr>
    <w:rPr>
      <w:rFonts w:ascii="Times New Roman" w:hAnsi="Times New Roman"/>
      <w:szCs w:val="24"/>
    </w:rPr>
  </w:style>
  <w:style w:type="paragraph" w:styleId="5">
    <w:name w:val="Balloon Text"/>
    <w:basedOn w:val="1"/>
    <w:semiHidden/>
    <w:qFormat/>
    <w:uiPriority w:val="0"/>
    <w:rPr>
      <w:sz w:val="18"/>
      <w:szCs w:val="18"/>
    </w:rPr>
  </w:style>
  <w:style w:type="paragraph" w:styleId="6">
    <w:name w:val="footer"/>
    <w:basedOn w:val="1"/>
    <w:link w:val="18"/>
    <w:qFormat/>
    <w:uiPriority w:val="0"/>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800080"/>
      <w:u w:val="single"/>
    </w:rPr>
  </w:style>
  <w:style w:type="character" w:styleId="13">
    <w:name w:val="Hyperlink"/>
    <w:basedOn w:val="11"/>
    <w:qFormat/>
    <w:uiPriority w:val="0"/>
    <w:rPr>
      <w:color w:val="0000FF"/>
      <w:u w:val="single"/>
    </w:rPr>
  </w:style>
  <w:style w:type="character" w:styleId="14">
    <w:name w:val="annotation reference"/>
    <w:unhideWhenUsed/>
    <w:qFormat/>
    <w:uiPriority w:val="99"/>
    <w:rPr>
      <w:sz w:val="21"/>
      <w:szCs w:val="21"/>
    </w:rPr>
  </w:style>
  <w:style w:type="character" w:styleId="15">
    <w:name w:val="footnote reference"/>
    <w:basedOn w:val="11"/>
    <w:unhideWhenUsed/>
    <w:qFormat/>
    <w:uiPriority w:val="0"/>
    <w:rPr>
      <w:vertAlign w:val="superscript"/>
    </w:rPr>
  </w:style>
  <w:style w:type="character" w:customStyle="1" w:styleId="16">
    <w:name w:val="正文文本缩进 2 字符"/>
    <w:link w:val="4"/>
    <w:qFormat/>
    <w:uiPriority w:val="0"/>
    <w:rPr>
      <w:rFonts w:eastAsia="宋体"/>
      <w:kern w:val="2"/>
      <w:sz w:val="21"/>
      <w:szCs w:val="24"/>
      <w:lang w:val="en-US" w:eastAsia="zh-CN" w:bidi="ar-SA"/>
    </w:rPr>
  </w:style>
  <w:style w:type="character" w:customStyle="1" w:styleId="17">
    <w:name w:val="页眉 字符"/>
    <w:basedOn w:val="11"/>
    <w:link w:val="7"/>
    <w:qFormat/>
    <w:uiPriority w:val="0"/>
    <w:rPr>
      <w:rFonts w:ascii="Calibri" w:hAnsi="Calibri"/>
      <w:kern w:val="2"/>
      <w:sz w:val="18"/>
      <w:szCs w:val="18"/>
    </w:rPr>
  </w:style>
  <w:style w:type="character" w:customStyle="1" w:styleId="18">
    <w:name w:val="页脚 字符"/>
    <w:basedOn w:val="11"/>
    <w:link w:val="6"/>
    <w:qFormat/>
    <w:uiPriority w:val="0"/>
    <w:rPr>
      <w:rFonts w:ascii="Calibri" w:hAnsi="Calibri"/>
      <w:kern w:val="2"/>
      <w:sz w:val="18"/>
      <w:szCs w:val="18"/>
    </w:rPr>
  </w:style>
  <w:style w:type="paragraph" w:customStyle="1" w:styleId="19">
    <w:name w:val="列出段落1"/>
    <w:basedOn w:val="1"/>
    <w:qFormat/>
    <w:uiPriority w:val="34"/>
    <w:pPr>
      <w:ind w:firstLine="420" w:firstLineChars="200"/>
    </w:pPr>
  </w:style>
  <w:style w:type="character" w:customStyle="1" w:styleId="20">
    <w:name w:val="批注文字 字符"/>
    <w:basedOn w:val="11"/>
    <w:link w:val="2"/>
    <w:qFormat/>
    <w:uiPriority w:val="0"/>
    <w:rPr>
      <w:rFonts w:ascii="Calibri" w:hAnsi="Calibri"/>
      <w:kern w:val="2"/>
      <w:sz w:val="21"/>
      <w:szCs w:val="22"/>
    </w:rPr>
  </w:style>
  <w:style w:type="character" w:customStyle="1" w:styleId="21">
    <w:name w:val="批注主题 字符"/>
    <w:basedOn w:val="20"/>
    <w:link w:val="8"/>
    <w:qFormat/>
    <w:uiPriority w:val="0"/>
    <w:rPr>
      <w:rFonts w:ascii="Calibri" w:hAnsi="Calibri"/>
      <w:b/>
      <w:bCs/>
      <w:kern w:val="2"/>
      <w:sz w:val="21"/>
      <w:szCs w:val="22"/>
    </w:rPr>
  </w:style>
  <w:style w:type="character" w:customStyle="1" w:styleId="22">
    <w:name w:val="日期 字符"/>
    <w:basedOn w:val="11"/>
    <w:link w:val="3"/>
    <w:qFormat/>
    <w:uiPriority w:val="0"/>
    <w:rPr>
      <w:rFonts w:ascii="Calibri" w:hAnsi="Calibri"/>
      <w:kern w:val="2"/>
      <w:sz w:val="21"/>
      <w:szCs w:val="22"/>
    </w:rPr>
  </w:style>
  <w:style w:type="character" w:customStyle="1" w:styleId="23">
    <w:name w:val="Intense Reference"/>
    <w:basedOn w:val="11"/>
    <w:qFormat/>
    <w:uiPriority w:val="32"/>
    <w:rPr>
      <w:b/>
      <w:bCs/>
      <w:smallCaps/>
      <w:color w:val="4F81BD" w:themeColor="accent1"/>
      <w:spacing w:val="5"/>
      <w14:textFill>
        <w14:solidFill>
          <w14:schemeClr w14:val="accent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FD376E-024F-41E3-9950-FF863E83EAC9}">
  <ds:schemaRefs/>
</ds:datastoreItem>
</file>

<file path=docProps/app.xml><?xml version="1.0" encoding="utf-8"?>
<Properties xmlns="http://schemas.openxmlformats.org/officeDocument/2006/extended-properties" xmlns:vt="http://schemas.openxmlformats.org/officeDocument/2006/docPropsVTypes">
  <Template>Normal</Template>
  <Pages>6</Pages>
  <Words>513</Words>
  <Characters>2927</Characters>
  <Lines>24</Lines>
  <Paragraphs>6</Paragraphs>
  <TotalTime>2</TotalTime>
  <ScaleCrop>false</ScaleCrop>
  <LinksUpToDate>false</LinksUpToDate>
  <CharactersWithSpaces>3434</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2020-05-07T05:07:00Z</dcterms:created>
  <dc:creator>江安琪</dc:creator>
  <cp:lastModifiedBy>xuyadong</cp:lastModifiedBy>
  <cp:lastPrinted>2014-01-09T02:09:00Z</cp:lastPrinted>
  <dcterms:modified xsi:type="dcterms:W3CDTF">2021-04-07T10:01:47Z</dcterms:modified>
  <dc:title>权益类互换交易确认书</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8E28A56D03464D988EAB38D865129590</vt:lpwstr>
  </property>
</Properties>
</file>