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b/>
          <w:sz w:val="30"/>
          <w:szCs w:val="30"/>
        </w:rPr>
      </w:pPr>
      <w:r>
        <w:rPr>
          <w:rFonts w:hint="eastAsia" w:ascii="楷体" w:hAnsi="楷体" w:eastAsia="楷体"/>
          <w:b/>
          <w:sz w:val="32"/>
          <w:szCs w:val="30"/>
        </w:rPr>
        <w:t>{{公司名称}}金融衍生品</w:t>
      </w:r>
      <w:r>
        <w:rPr>
          <w:rFonts w:ascii="楷体" w:hAnsi="楷体" w:eastAsia="楷体"/>
          <w:b/>
          <w:sz w:val="32"/>
          <w:szCs w:val="30"/>
        </w:rPr>
        <w:t>交易确认书</w:t>
      </w:r>
    </w:p>
    <w:p>
      <w:pPr>
        <w:spacing w:line="360" w:lineRule="auto"/>
        <w:ind w:firstLine="4080" w:firstLineChars="1700"/>
        <w:rPr>
          <w:rFonts w:eastAsia="楷体_GB2312"/>
          <w:sz w:val="24"/>
        </w:rPr>
      </w:pPr>
    </w:p>
    <w:p>
      <w:pPr>
        <w:spacing w:line="360" w:lineRule="auto"/>
        <w:ind w:firstLine="120" w:firstLineChars="50"/>
        <w:jc w:val="right"/>
        <w:rPr>
          <w:rFonts w:ascii="黑体" w:eastAsia="黑体"/>
          <w:sz w:val="24"/>
        </w:rPr>
      </w:pPr>
      <w:r>
        <w:rPr>
          <w:rFonts w:hint="eastAsia" w:eastAsia="楷体_GB2312"/>
          <w:sz w:val="24"/>
        </w:rPr>
        <w:tab/>
      </w:r>
      <w:r>
        <w:rPr>
          <w:rFonts w:hint="eastAsia" w:eastAsia="楷体_GB2312"/>
          <w:sz w:val="24"/>
        </w:rPr>
        <w:tab/>
      </w:r>
      <w:r>
        <w:rPr>
          <w:rFonts w:hint="eastAsia" w:eastAsia="楷体_GB2312"/>
          <w:sz w:val="24"/>
        </w:rPr>
        <w:tab/>
      </w:r>
      <w:r>
        <w:rPr>
          <w:rFonts w:hint="eastAsia" w:eastAsia="楷体_GB2312"/>
          <w:sz w:val="24"/>
        </w:rPr>
        <w:tab/>
      </w:r>
      <w:r>
        <w:rPr>
          <w:rFonts w:hint="eastAsia" w:eastAsia="楷体_GB2312"/>
          <w:sz w:val="24"/>
        </w:rPr>
        <w:tab/>
      </w:r>
      <w:r>
        <w:rPr>
          <w:rFonts w:hint="eastAsia" w:ascii="黑体" w:eastAsia="黑体"/>
          <w:sz w:val="24"/>
        </w:rPr>
        <w:t>编号：【{{合同编号}}】</w:t>
      </w:r>
    </w:p>
    <w:p>
      <w:pPr>
        <w:spacing w:line="360" w:lineRule="auto"/>
        <w:ind w:right="600"/>
        <w:jc w:val="left"/>
        <w:rPr>
          <w:rFonts w:ascii="楷体" w:hAnsi="楷体" w:eastAsia="楷体"/>
          <w:sz w:val="24"/>
        </w:rPr>
      </w:pPr>
      <w:r>
        <w:rPr>
          <w:rFonts w:ascii="楷体" w:hAnsi="楷体" w:eastAsia="楷体"/>
          <w:b/>
          <w:sz w:val="24"/>
        </w:rPr>
        <w:t>甲方</w:t>
      </w:r>
      <w:r>
        <w:rPr>
          <w:rFonts w:ascii="楷体" w:hAnsi="楷体" w:eastAsia="楷体"/>
          <w:sz w:val="24"/>
        </w:rPr>
        <w:t>：</w:t>
      </w:r>
      <w:bookmarkStart w:id="0" w:name="OLE_LINK3"/>
      <w:r>
        <w:rPr>
          <w:rFonts w:hint="eastAsia" w:ascii="楷体" w:hAnsi="楷体" w:eastAsia="楷体"/>
          <w:sz w:val="24"/>
        </w:rPr>
        <w:t>{{甲方}}</w:t>
      </w:r>
      <w:bookmarkEnd w:id="0"/>
      <w:bookmarkStart w:id="13" w:name="_GoBack"/>
      <w:bookmarkEnd w:id="13"/>
    </w:p>
    <w:p>
      <w:pPr>
        <w:spacing w:line="360" w:lineRule="auto"/>
        <w:ind w:right="600"/>
        <w:jc w:val="left"/>
        <w:rPr>
          <w:rFonts w:ascii="楷体" w:hAnsi="楷体" w:eastAsia="楷体"/>
          <w:sz w:val="24"/>
        </w:rPr>
      </w:pPr>
      <w:r>
        <w:rPr>
          <w:rFonts w:ascii="楷体" w:hAnsi="楷体" w:eastAsia="楷体"/>
          <w:sz w:val="24"/>
        </w:rPr>
        <w:t>法定代表人：</w:t>
      </w:r>
      <w:r>
        <w:rPr>
          <w:rFonts w:hint="eastAsia" w:ascii="楷体" w:hAnsi="楷体" w:eastAsia="楷体"/>
          <w:sz w:val="24"/>
        </w:rPr>
        <w:t>{{甲方法人}}</w:t>
      </w:r>
    </w:p>
    <w:p>
      <w:pPr>
        <w:spacing w:line="360" w:lineRule="auto"/>
        <w:ind w:right="600"/>
        <w:jc w:val="left"/>
        <w:rPr>
          <w:rFonts w:ascii="楷体" w:hAnsi="楷体" w:eastAsia="楷体"/>
          <w:sz w:val="24"/>
        </w:rPr>
      </w:pPr>
      <w:r>
        <w:rPr>
          <w:rFonts w:ascii="楷体" w:hAnsi="楷体" w:eastAsia="楷体"/>
          <w:sz w:val="24"/>
        </w:rPr>
        <w:t>营业执照注册号：</w:t>
      </w:r>
      <w:r>
        <w:rPr>
          <w:rFonts w:hint="eastAsia" w:ascii="楷体" w:hAnsi="楷体" w:eastAsia="楷体"/>
          <w:sz w:val="24"/>
        </w:rPr>
        <w:t>{{甲方营业执照}}</w:t>
      </w:r>
    </w:p>
    <w:p>
      <w:pPr>
        <w:spacing w:line="360" w:lineRule="auto"/>
        <w:ind w:right="600"/>
        <w:jc w:val="left"/>
        <w:rPr>
          <w:rFonts w:hint="eastAsia" w:ascii="楷体" w:hAnsi="楷体" w:eastAsia="楷体"/>
          <w:sz w:val="24"/>
        </w:rPr>
      </w:pPr>
      <w:r>
        <w:rPr>
          <w:rFonts w:ascii="楷体" w:hAnsi="楷体" w:eastAsia="楷体"/>
          <w:sz w:val="24"/>
        </w:rPr>
        <w:t xml:space="preserve">注册地址： </w:t>
      </w:r>
      <w:r>
        <w:rPr>
          <w:rFonts w:hint="eastAsia" w:ascii="楷体" w:hAnsi="楷体" w:eastAsia="楷体"/>
          <w:sz w:val="24"/>
        </w:rPr>
        <w:t>{{甲方注册地址}}</w:t>
      </w:r>
    </w:p>
    <w:p>
      <w:pPr>
        <w:spacing w:line="360" w:lineRule="auto"/>
        <w:ind w:right="600"/>
        <w:jc w:val="left"/>
        <w:rPr>
          <w:rFonts w:ascii="楷体" w:hAnsi="楷体" w:eastAsia="楷体"/>
          <w:b/>
          <w:sz w:val="24"/>
        </w:rPr>
      </w:pPr>
      <w:r>
        <w:rPr>
          <w:rFonts w:ascii="楷体" w:hAnsi="楷体" w:eastAsia="楷体"/>
          <w:b/>
          <w:sz w:val="24"/>
        </w:rPr>
        <w:t>乙方：</w:t>
      </w:r>
      <w:r>
        <w:rPr>
          <w:rFonts w:hint="eastAsia" w:ascii="楷体" w:hAnsi="楷体" w:eastAsia="楷体"/>
          <w:b/>
          <w:sz w:val="24"/>
        </w:rPr>
        <w:t>{{乙方}}</w:t>
      </w:r>
    </w:p>
    <w:p>
      <w:pPr>
        <w:spacing w:line="360" w:lineRule="auto"/>
        <w:ind w:right="600"/>
        <w:jc w:val="left"/>
        <w:rPr>
          <w:rFonts w:ascii="楷体" w:hAnsi="楷体" w:eastAsia="楷体"/>
          <w:sz w:val="24"/>
        </w:rPr>
      </w:pPr>
      <w:r>
        <w:rPr>
          <w:rFonts w:ascii="楷体" w:hAnsi="楷体" w:eastAsia="楷体"/>
          <w:sz w:val="24"/>
        </w:rPr>
        <w:t>法定代表人：</w:t>
      </w:r>
      <w:r>
        <w:rPr>
          <w:rFonts w:hint="eastAsia" w:ascii="楷体" w:hAnsi="楷体" w:eastAsia="楷体"/>
          <w:sz w:val="24"/>
        </w:rPr>
        <w:t>{{乙方法人}}</w:t>
      </w:r>
    </w:p>
    <w:p>
      <w:pPr>
        <w:spacing w:line="360" w:lineRule="auto"/>
        <w:ind w:right="600"/>
        <w:jc w:val="left"/>
        <w:rPr>
          <w:rFonts w:hint="eastAsia" w:ascii="楷体" w:hAnsi="楷体" w:eastAsia="楷体"/>
          <w:sz w:val="24"/>
        </w:rPr>
      </w:pPr>
      <w:r>
        <w:rPr>
          <w:rFonts w:ascii="楷体" w:hAnsi="楷体" w:eastAsia="楷体"/>
          <w:sz w:val="24"/>
        </w:rPr>
        <w:t>营业执照注册号：</w:t>
      </w:r>
      <w:r>
        <w:rPr>
          <w:rFonts w:hint="eastAsia" w:ascii="楷体" w:hAnsi="楷体" w:eastAsia="楷体"/>
          <w:sz w:val="24"/>
        </w:rPr>
        <w:t>{{乙方营业执照}}</w:t>
      </w:r>
    </w:p>
    <w:p>
      <w:pPr>
        <w:spacing w:line="360" w:lineRule="auto"/>
        <w:ind w:right="600"/>
        <w:jc w:val="left"/>
        <w:rPr>
          <w:rFonts w:ascii="楷体" w:hAnsi="楷体" w:eastAsia="楷体"/>
          <w:sz w:val="24"/>
        </w:rPr>
      </w:pPr>
      <w:r>
        <w:rPr>
          <w:rFonts w:ascii="楷体" w:hAnsi="楷体" w:eastAsia="楷体"/>
          <w:sz w:val="24"/>
        </w:rPr>
        <w:t>注册地址：</w:t>
      </w:r>
      <w:r>
        <w:rPr>
          <w:rFonts w:hint="eastAsia" w:ascii="楷体" w:hAnsi="楷体" w:eastAsia="楷体"/>
          <w:sz w:val="24"/>
        </w:rPr>
        <w:t>{{乙方注册地址}}</w:t>
      </w:r>
    </w:p>
    <w:p>
      <w:pPr>
        <w:spacing w:line="360" w:lineRule="auto"/>
        <w:rPr>
          <w:rFonts w:eastAsia="楷体_GB2312"/>
          <w:sz w:val="24"/>
        </w:rPr>
      </w:pPr>
    </w:p>
    <w:p>
      <w:pPr>
        <w:spacing w:line="360" w:lineRule="auto"/>
        <w:ind w:firstLine="420"/>
        <w:rPr>
          <w:rFonts w:eastAsia="楷体_GB2312"/>
          <w:sz w:val="24"/>
        </w:rPr>
      </w:pPr>
      <w:r>
        <w:rPr>
          <w:rFonts w:hint="eastAsia" w:eastAsia="楷体_GB2312"/>
          <w:sz w:val="24"/>
        </w:rPr>
        <w:t>为约定甲乙双方在下文指明的日期达成的交易的条款和条件，双方特签署本《有限公司金融衍生品交易确认书》（以下称“本确认书”）。</w:t>
      </w:r>
    </w:p>
    <w:p>
      <w:pPr>
        <w:spacing w:before="100" w:beforeAutospacing="1" w:after="100" w:afterAutospacing="1" w:line="360" w:lineRule="auto"/>
        <w:ind w:firstLine="540"/>
        <w:rPr>
          <w:rFonts w:eastAsia="楷体_GB2312"/>
          <w:sz w:val="24"/>
        </w:rPr>
      </w:pPr>
      <w:r>
        <w:rPr>
          <w:rFonts w:hint="eastAsia" w:eastAsia="楷体_GB2312"/>
          <w:sz w:val="24"/>
        </w:rPr>
        <w:t>本确认书适用于甲方和乙方已签署的《</w:t>
      </w:r>
      <w:bookmarkStart w:id="1" w:name="_Hlk53134890"/>
      <w:r>
        <w:rPr>
          <w:rFonts w:hint="eastAsia" w:eastAsia="楷体_GB2312"/>
          <w:sz w:val="24"/>
        </w:rPr>
        <w:t>中国证券期货市场衍生品交易主协议</w:t>
      </w:r>
      <w:bookmarkEnd w:id="1"/>
      <w:r>
        <w:rPr>
          <w:rFonts w:hint="eastAsia" w:eastAsia="楷体_GB2312"/>
          <w:sz w:val="24"/>
        </w:rPr>
        <w:t>》（协议编号：</w:t>
      </w:r>
      <w:bookmarkStart w:id="2" w:name="OLE_LINK1"/>
      <w:r>
        <w:rPr>
          <w:rFonts w:hint="eastAsia" w:eastAsia="楷体_GB2312"/>
          <w:sz w:val="24"/>
        </w:rPr>
        <w:t>{{主协议}}</w:t>
      </w:r>
      <w:bookmarkEnd w:id="2"/>
      <w:r>
        <w:rPr>
          <w:rFonts w:hint="eastAsia" w:eastAsia="楷体_GB2312"/>
          <w:sz w:val="24"/>
        </w:rPr>
        <w:t>）（以下称“《主协议》”）和《</w:t>
      </w:r>
      <w:bookmarkStart w:id="3" w:name="_Hlk53134920"/>
      <w:r>
        <w:rPr>
          <w:rFonts w:hint="eastAsia" w:eastAsia="楷体_GB2312"/>
          <w:sz w:val="24"/>
        </w:rPr>
        <w:t>中国证券期货市场衍生品交易主协议补充协议</w:t>
      </w:r>
      <w:bookmarkEnd w:id="3"/>
      <w:r>
        <w:rPr>
          <w:rFonts w:hint="eastAsia" w:eastAsia="楷体_GB2312"/>
          <w:sz w:val="24"/>
        </w:rPr>
        <w:t>》（协议编号：{{补充协议}}）及其补充（以下称“《补充协议》”），构成《主协议》所称的“交易确认书”。</w:t>
      </w:r>
    </w:p>
    <w:p>
      <w:pPr>
        <w:spacing w:before="100" w:beforeAutospacing="1" w:after="100" w:afterAutospacing="1" w:line="360" w:lineRule="auto"/>
        <w:ind w:firstLine="540"/>
        <w:rPr>
          <w:rFonts w:eastAsia="楷体_GB2312"/>
          <w:sz w:val="24"/>
        </w:rPr>
      </w:pPr>
      <w:r>
        <w:rPr>
          <w:rFonts w:hint="eastAsia" w:eastAsia="楷体_GB2312"/>
          <w:sz w:val="24"/>
        </w:rPr>
        <w:t>本确认书是主协议、补充协议的补充，当本确认书与主协议及补充协议有冲突时，以本确认书为准。本确认书未做约定的事项，参照《主协议》及《补充协议》约定进行处理。</w:t>
      </w:r>
    </w:p>
    <w:p>
      <w:pPr>
        <w:spacing w:before="100" w:beforeAutospacing="1" w:after="100" w:afterAutospacing="1" w:line="360" w:lineRule="auto"/>
        <w:ind w:firstLine="540"/>
        <w:rPr>
          <w:rFonts w:eastAsia="楷体_GB2312"/>
          <w:sz w:val="24"/>
        </w:rPr>
      </w:pPr>
      <w:r>
        <w:rPr>
          <w:rFonts w:hint="eastAsia" w:eastAsia="楷体_GB2312"/>
          <w:sz w:val="24"/>
        </w:rPr>
        <w:t>在本确认书中出现的未定义的术语，其定义见于主协议、补充协议，中国证券期货市场场外衍生品交易权益类衍生品定义文件（2014年版），</w:t>
      </w:r>
      <w:r>
        <w:rPr>
          <w:rFonts w:eastAsia="楷体_GB2312"/>
          <w:sz w:val="24"/>
        </w:rPr>
        <w:t>或</w:t>
      </w:r>
      <w:r>
        <w:rPr>
          <w:rFonts w:hint="eastAsia" w:eastAsia="楷体_GB2312"/>
          <w:sz w:val="24"/>
        </w:rPr>
        <w:t>《中国证券期货市场场外衍生品交易商品衍生品定义文件（2015版）》。交易双方同意，本确认书所述条款对交易双方具有完整性和约束力。</w:t>
      </w:r>
    </w:p>
    <w:tbl>
      <w:tblPr>
        <w:tblStyle w:val="17"/>
        <w:tblW w:w="9353"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94"/>
        <w:gridCol w:w="6633"/>
        <w:gridCol w:w="26"/>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 w:hRule="atLeast"/>
          <w:jc w:val="center"/>
        </w:trPr>
        <w:tc>
          <w:tcPr>
            <w:tcW w:w="9353" w:type="dxa"/>
            <w:gridSpan w:val="3"/>
            <w:tcBorders>
              <w:top w:val="thinThickSmallGap" w:color="auto" w:sz="24" w:space="0"/>
              <w:bottom w:val="single" w:color="auto" w:sz="4" w:space="0"/>
            </w:tcBorders>
            <w:shd w:val="clear" w:color="auto" w:fill="C0C0C0"/>
            <w:vAlign w:val="center"/>
          </w:tcPr>
          <w:p>
            <w:pPr>
              <w:pStyle w:val="3"/>
              <w:numPr>
                <w:ilvl w:val="0"/>
                <w:numId w:val="2"/>
              </w:numPr>
              <w:spacing w:before="0" w:after="0"/>
              <w:rPr>
                <w:rFonts w:ascii="Times New Roman" w:hAnsi="Times New Roman" w:eastAsia="楷体_GB2312"/>
                <w:sz w:val="28"/>
                <w:szCs w:val="28"/>
              </w:rPr>
            </w:pPr>
            <w:r>
              <w:rPr>
                <w:rFonts w:hint="eastAsia" w:ascii="Times New Roman" w:hAnsi="Times New Roman" w:eastAsia="楷体_GB2312"/>
                <w:sz w:val="28"/>
                <w:szCs w:val="28"/>
              </w:rPr>
              <w:t>基本条款</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94" w:type="dxa"/>
            <w:tcBorders>
              <w:top w:val="single" w:color="auto" w:sz="4" w:space="0"/>
              <w:bottom w:val="nil"/>
              <w:right w:val="single" w:color="auto" w:sz="4" w:space="0"/>
            </w:tcBorders>
          </w:tcPr>
          <w:p>
            <w:pPr>
              <w:numPr>
                <w:ilvl w:val="1"/>
                <w:numId w:val="2"/>
              </w:numPr>
              <w:spacing w:line="360" w:lineRule="auto"/>
              <w:rPr>
                <w:rFonts w:eastAsia="楷体_GB2312"/>
                <w:bCs/>
                <w:sz w:val="24"/>
              </w:rPr>
            </w:pPr>
            <w:r>
              <w:rPr>
                <w:rFonts w:eastAsia="楷体_GB2312"/>
                <w:bCs/>
                <w:sz w:val="24"/>
              </w:rPr>
              <w:tab/>
            </w:r>
            <w:r>
              <w:rPr>
                <w:rFonts w:hint="eastAsia" w:eastAsia="楷体_GB2312"/>
                <w:bCs/>
                <w:sz w:val="24"/>
              </w:rPr>
              <w:t>交易达成日</w:t>
            </w:r>
          </w:p>
        </w:tc>
        <w:tc>
          <w:tcPr>
            <w:tcW w:w="6659" w:type="dxa"/>
            <w:gridSpan w:val="2"/>
            <w:tcBorders>
              <w:top w:val="single" w:color="auto" w:sz="4" w:space="0"/>
              <w:left w:val="single" w:color="auto" w:sz="4" w:space="0"/>
              <w:bottom w:val="nil"/>
            </w:tcBorders>
          </w:tcPr>
          <w:p>
            <w:pPr>
              <w:spacing w:line="360" w:lineRule="auto"/>
              <w:jc w:val="left"/>
              <w:rPr>
                <w:rFonts w:eastAsia="楷体_GB2312"/>
                <w:bCs/>
                <w:sz w:val="24"/>
              </w:rPr>
            </w:pPr>
            <w:r>
              <w:rPr>
                <w:rFonts w:hint="eastAsia" w:eastAsia="楷体_GB2312"/>
                <w:bCs/>
                <w:sz w:val="24"/>
              </w:rPr>
              <w:t>指达成本确认书下互换交易对应的日期，具体以本确认书附录一约定为准。</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eastAsia="楷体_GB2312"/>
                <w:bCs/>
                <w:sz w:val="24"/>
              </w:rPr>
              <w:tab/>
            </w:r>
            <w:bookmarkStart w:id="4" w:name="_Ref347491823"/>
            <w:r>
              <w:rPr>
                <w:rFonts w:hint="eastAsia" w:eastAsia="楷体_GB2312"/>
                <w:bCs/>
                <w:sz w:val="24"/>
              </w:rPr>
              <w:t>期初观察日</w:t>
            </w:r>
            <w:bookmarkEnd w:id="4"/>
          </w:p>
        </w:tc>
        <w:tc>
          <w:tcPr>
            <w:tcW w:w="6659" w:type="dxa"/>
            <w:gridSpan w:val="2"/>
            <w:tcBorders>
              <w:top w:val="nil"/>
              <w:left w:val="single" w:color="auto" w:sz="4" w:space="0"/>
              <w:bottom w:val="nil"/>
            </w:tcBorders>
          </w:tcPr>
          <w:p>
            <w:pPr>
              <w:spacing w:line="360" w:lineRule="auto"/>
              <w:jc w:val="left"/>
              <w:rPr>
                <w:rFonts w:eastAsia="楷体_GB2312"/>
                <w:bCs/>
                <w:sz w:val="24"/>
              </w:rPr>
            </w:pPr>
            <w:r>
              <w:rPr>
                <w:rFonts w:hint="eastAsia" w:eastAsia="楷体_GB2312"/>
                <w:bCs/>
                <w:sz w:val="24"/>
              </w:rPr>
              <w:t>具体以本确认书附录一约定为准，若期初观察日为非交易日的，则顺延至下一个交易日。</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期末观察日</w:t>
            </w:r>
          </w:p>
        </w:tc>
        <w:tc>
          <w:tcPr>
            <w:tcW w:w="6659" w:type="dxa"/>
            <w:gridSpan w:val="2"/>
            <w:tcBorders>
              <w:top w:val="nil"/>
              <w:left w:val="single" w:color="auto" w:sz="4" w:space="0"/>
            </w:tcBorders>
          </w:tcPr>
          <w:p>
            <w:pPr>
              <w:spacing w:line="360" w:lineRule="auto"/>
              <w:jc w:val="left"/>
              <w:rPr>
                <w:rFonts w:eastAsia="楷体_GB2312"/>
                <w:bCs/>
                <w:sz w:val="24"/>
              </w:rPr>
            </w:pPr>
            <w:r>
              <w:rPr>
                <w:rFonts w:hint="eastAsia" w:eastAsia="楷体_GB2312"/>
                <w:bCs/>
                <w:sz w:val="24"/>
              </w:rPr>
              <w:t>具体以本确认书附录一约定为准，若期末观察日为非交易日的，则顺延至下一个交易日。</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估值日</w:t>
            </w:r>
          </w:p>
        </w:tc>
        <w:tc>
          <w:tcPr>
            <w:tcW w:w="6659" w:type="dxa"/>
            <w:gridSpan w:val="2"/>
            <w:tcBorders>
              <w:left w:val="single" w:color="auto" w:sz="4" w:space="0"/>
              <w:bottom w:val="nil"/>
            </w:tcBorders>
          </w:tcPr>
          <w:p>
            <w:pPr>
              <w:spacing w:line="360" w:lineRule="auto"/>
              <w:jc w:val="left"/>
              <w:rPr>
                <w:rFonts w:eastAsia="楷体_GB2312"/>
                <w:bCs/>
                <w:sz w:val="24"/>
              </w:rPr>
            </w:pPr>
            <w:r>
              <w:rPr>
                <w:rFonts w:hint="eastAsia" w:eastAsia="楷体_GB2312"/>
                <w:bCs/>
                <w:sz w:val="24"/>
              </w:rPr>
              <w:t>期初观察日（含）至期末观察日（含）的交易日。</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到期日</w:t>
            </w:r>
          </w:p>
        </w:tc>
        <w:tc>
          <w:tcPr>
            <w:tcW w:w="6659" w:type="dxa"/>
            <w:gridSpan w:val="2"/>
            <w:tcBorders>
              <w:left w:val="single" w:color="auto" w:sz="4" w:space="0"/>
              <w:bottom w:val="nil"/>
            </w:tcBorders>
          </w:tcPr>
          <w:p>
            <w:pPr>
              <w:spacing w:line="360" w:lineRule="auto"/>
              <w:jc w:val="left"/>
              <w:rPr>
                <w:rFonts w:eastAsia="楷体_GB2312"/>
                <w:bCs/>
                <w:sz w:val="24"/>
              </w:rPr>
            </w:pPr>
            <w:r>
              <w:rPr>
                <w:rFonts w:hint="eastAsia" w:eastAsia="楷体_GB2312"/>
                <w:bCs/>
                <w:sz w:val="24"/>
              </w:rPr>
              <w:t>指提前终止日（包含部分提前终止日和全部提前终止日）、期末观察日后的【</w:t>
            </w:r>
            <w:r>
              <w:rPr>
                <w:rFonts w:eastAsia="楷体_GB2312"/>
                <w:bCs/>
                <w:sz w:val="24"/>
              </w:rPr>
              <w:t>2</w:t>
            </w:r>
            <w:r>
              <w:rPr>
                <w:rFonts w:hint="eastAsia" w:eastAsia="楷体_GB2312"/>
                <w:bCs/>
                <w:sz w:val="24"/>
              </w:rPr>
              <w:t>】个交易日内。</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eastAsia="楷体_GB2312"/>
                <w:bCs/>
                <w:sz w:val="24"/>
              </w:rPr>
              <w:tab/>
            </w:r>
            <w:bookmarkStart w:id="5" w:name="_Ref375145431"/>
            <w:r>
              <w:rPr>
                <w:rFonts w:hint="eastAsia" w:eastAsia="楷体_GB2312"/>
                <w:bCs/>
                <w:sz w:val="24"/>
              </w:rPr>
              <w:t>标的证券</w:t>
            </w:r>
            <w:bookmarkEnd w:id="5"/>
          </w:p>
        </w:tc>
        <w:tc>
          <w:tcPr>
            <w:tcW w:w="6659" w:type="dxa"/>
            <w:gridSpan w:val="2"/>
            <w:tcBorders>
              <w:left w:val="single" w:color="auto" w:sz="4" w:space="0"/>
            </w:tcBorders>
          </w:tcPr>
          <w:p>
            <w:pPr>
              <w:spacing w:line="360" w:lineRule="auto"/>
              <w:jc w:val="left"/>
              <w:rPr>
                <w:rFonts w:eastAsia="楷体_GB2312"/>
                <w:bCs/>
                <w:sz w:val="24"/>
              </w:rPr>
            </w:pPr>
            <w:r>
              <w:rPr>
                <w:rFonts w:hint="eastAsia" w:eastAsia="楷体_GB2312"/>
                <w:bCs/>
                <w:sz w:val="24"/>
              </w:rPr>
              <w:t>该交易对应的具体证券品种仅限于股票指数。具体以本确认书附录一约定为准。</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名义本金额</w:t>
            </w:r>
          </w:p>
        </w:tc>
        <w:tc>
          <w:tcPr>
            <w:tcW w:w="6659" w:type="dxa"/>
            <w:gridSpan w:val="2"/>
            <w:tcBorders>
              <w:top w:val="nil"/>
              <w:left w:val="single" w:color="auto" w:sz="4" w:space="0"/>
              <w:bottom w:val="nil"/>
            </w:tcBorders>
          </w:tcPr>
          <w:p>
            <w:pPr>
              <w:spacing w:line="360" w:lineRule="auto"/>
              <w:jc w:val="left"/>
              <w:rPr>
                <w:rFonts w:eastAsia="楷体_GB2312"/>
                <w:bCs/>
                <w:sz w:val="24"/>
              </w:rPr>
            </w:pPr>
            <w:r>
              <w:rPr>
                <w:rFonts w:hint="eastAsia" w:ascii="楷体_GB2312" w:eastAsia="楷体_GB2312"/>
                <w:bCs/>
                <w:sz w:val="24"/>
              </w:rPr>
              <w:t>对于本确认书下达成的互换交易，名义本金额</w:t>
            </w:r>
            <w:r>
              <w:rPr>
                <w:rFonts w:hint="eastAsia" w:eastAsia="楷体_GB2312"/>
                <w:bCs/>
                <w:sz w:val="24"/>
              </w:rPr>
              <w:t>具体以本确认书附录一约定为准。</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期初价格</w:t>
            </w:r>
          </w:p>
        </w:tc>
        <w:tc>
          <w:tcPr>
            <w:tcW w:w="6659" w:type="dxa"/>
            <w:gridSpan w:val="2"/>
            <w:tcBorders>
              <w:top w:val="nil"/>
              <w:left w:val="single" w:color="auto" w:sz="4" w:space="0"/>
              <w:bottom w:val="nil"/>
            </w:tcBorders>
          </w:tcPr>
          <w:p>
            <w:pPr>
              <w:spacing w:line="360" w:lineRule="auto"/>
              <w:rPr>
                <w:rFonts w:eastAsia="楷体_GB2312"/>
                <w:bCs/>
                <w:sz w:val="24"/>
              </w:rPr>
            </w:pPr>
            <w:bookmarkStart w:id="6" w:name="OLE_LINK8"/>
            <w:bookmarkStart w:id="7" w:name="OLE_LINK7"/>
            <w:bookmarkStart w:id="8" w:name="OLE_LINK5"/>
            <w:r>
              <w:rPr>
                <w:rFonts w:hint="eastAsia" w:eastAsia="楷体_GB2312"/>
                <w:bCs/>
                <w:sz w:val="24"/>
              </w:rPr>
              <w:t>指</w:t>
            </w:r>
            <w:r>
              <w:rPr>
                <w:rFonts w:hint="eastAsia" w:ascii="楷体_GB2312" w:hAnsi="楷体_GB2312" w:eastAsia="楷体_GB2312"/>
                <w:bCs/>
                <w:sz w:val="24"/>
              </w:rPr>
              <w:t>标的证券在期初观察日的收盘价</w:t>
            </w:r>
            <w:r>
              <w:rPr>
                <w:rFonts w:hint="eastAsia" w:eastAsia="楷体_GB2312"/>
                <w:bCs/>
                <w:sz w:val="24"/>
              </w:rPr>
              <w:t>。具体</w:t>
            </w:r>
            <w:r>
              <w:rPr>
                <w:rFonts w:hint="eastAsia" w:ascii="楷体_GB2312" w:hAnsi="楷体_GB2312" w:eastAsia="楷体_GB2312"/>
                <w:bCs/>
                <w:sz w:val="24"/>
              </w:rPr>
              <w:t>以本交易确认书附录一为准。</w:t>
            </w:r>
            <w:bookmarkEnd w:id="6"/>
            <w:bookmarkEnd w:id="7"/>
            <w:bookmarkEnd w:id="8"/>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期末价格</w:t>
            </w:r>
          </w:p>
        </w:tc>
        <w:tc>
          <w:tcPr>
            <w:tcW w:w="6659" w:type="dxa"/>
            <w:gridSpan w:val="2"/>
            <w:tcBorders>
              <w:left w:val="single" w:color="auto" w:sz="4" w:space="0"/>
              <w:bottom w:val="nil"/>
            </w:tcBorders>
          </w:tcPr>
          <w:p>
            <w:pPr>
              <w:spacing w:line="360" w:lineRule="auto"/>
              <w:jc w:val="left"/>
              <w:rPr>
                <w:rFonts w:eastAsia="楷体_GB2312"/>
                <w:bCs/>
                <w:sz w:val="24"/>
              </w:rPr>
            </w:pPr>
            <w:r>
              <w:rPr>
                <w:rFonts w:hint="eastAsia" w:eastAsia="楷体_GB2312"/>
                <w:bCs/>
                <w:sz w:val="24"/>
              </w:rPr>
              <w:t>指标的证券在</w:t>
            </w:r>
            <w:r>
              <w:rPr>
                <w:rFonts w:hint="eastAsia" w:eastAsia="楷体_GB2312"/>
                <w:b/>
                <w:bCs/>
                <w:sz w:val="24"/>
              </w:rPr>
              <w:t>期末观察日</w:t>
            </w:r>
            <w:r>
              <w:rPr>
                <w:rFonts w:hint="eastAsia" w:eastAsia="楷体_GB2312"/>
                <w:bCs/>
                <w:sz w:val="24"/>
              </w:rPr>
              <w:t>的收盘价格或</w:t>
            </w:r>
            <w:r>
              <w:rPr>
                <w:rFonts w:eastAsia="楷体_GB2312"/>
                <w:bCs/>
                <w:sz w:val="24"/>
              </w:rPr>
              <w:t>甲乙双方约定的其他价格</w:t>
            </w:r>
            <w:r>
              <w:rPr>
                <w:rFonts w:hint="eastAsia" w:eastAsia="楷体_GB2312"/>
                <w:bCs/>
                <w:sz w:val="24"/>
              </w:rPr>
              <w:t>，收盘价格以</w:t>
            </w:r>
            <w:r>
              <w:rPr>
                <w:rFonts w:eastAsia="楷体_GB2312"/>
                <w:bCs/>
                <w:sz w:val="24"/>
              </w:rPr>
              <w:t>上海证券交易所</w:t>
            </w:r>
            <w:r>
              <w:rPr>
                <w:rFonts w:hint="eastAsia" w:eastAsia="楷体_GB2312"/>
                <w:bCs/>
                <w:sz w:val="24"/>
              </w:rPr>
              <w:t>公布的价格为准。小数点后保留位数的方法以本确认书附录一为准</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交易日</w:t>
            </w:r>
          </w:p>
        </w:tc>
        <w:tc>
          <w:tcPr>
            <w:tcW w:w="6659" w:type="dxa"/>
            <w:gridSpan w:val="2"/>
            <w:tcBorders>
              <w:top w:val="nil"/>
              <w:left w:val="single" w:color="auto" w:sz="4" w:space="0"/>
              <w:bottom w:val="nil"/>
            </w:tcBorders>
          </w:tcPr>
          <w:p>
            <w:pPr>
              <w:spacing w:line="360" w:lineRule="auto"/>
              <w:jc w:val="left"/>
              <w:rPr>
                <w:rFonts w:eastAsia="楷体_GB2312"/>
                <w:bCs/>
                <w:sz w:val="24"/>
              </w:rPr>
            </w:pPr>
            <w:r>
              <w:rPr>
                <w:rFonts w:hint="eastAsia" w:eastAsia="楷体_GB2312"/>
                <w:bCs/>
                <w:sz w:val="24"/>
              </w:rPr>
              <w:t>《上海证券交易所交易规则》规定的交易日</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 w:hRule="atLeast"/>
          <w:jc w:val="center"/>
        </w:trPr>
        <w:tc>
          <w:tcPr>
            <w:tcW w:w="2694" w:type="dxa"/>
            <w:tcBorders>
              <w:top w:val="nil"/>
              <w:bottom w:val="nil"/>
              <w:right w:val="single" w:color="auto" w:sz="4" w:space="0"/>
            </w:tcBorders>
            <w:vAlign w:val="center"/>
          </w:tcPr>
          <w:p>
            <w:pPr>
              <w:numPr>
                <w:ilvl w:val="1"/>
                <w:numId w:val="2"/>
              </w:numPr>
              <w:spacing w:line="360" w:lineRule="auto"/>
              <w:rPr>
                <w:rFonts w:eastAsia="楷体_GB2312"/>
                <w:bCs/>
                <w:sz w:val="24"/>
              </w:rPr>
            </w:pPr>
            <w:r>
              <w:rPr>
                <w:rFonts w:hint="eastAsia" w:eastAsia="楷体_GB2312"/>
                <w:bCs/>
                <w:sz w:val="24"/>
                <w:lang w:val="en-US" w:eastAsia="zh-CN"/>
              </w:rPr>
              <w:t xml:space="preserve">   </w:t>
            </w:r>
            <w:r>
              <w:rPr>
                <w:rFonts w:hint="eastAsia" w:eastAsia="楷体_GB2312"/>
                <w:bCs/>
                <w:sz w:val="24"/>
              </w:rPr>
              <w:t>计算机构</w:t>
            </w:r>
          </w:p>
        </w:tc>
        <w:tc>
          <w:tcPr>
            <w:tcW w:w="6659" w:type="dxa"/>
            <w:gridSpan w:val="2"/>
            <w:tcBorders>
              <w:top w:val="nil"/>
              <w:left w:val="single" w:color="auto" w:sz="4" w:space="0"/>
              <w:bottom w:val="nil"/>
            </w:tcBorders>
          </w:tcPr>
          <w:p>
            <w:pPr>
              <w:spacing w:line="360" w:lineRule="auto"/>
              <w:jc w:val="left"/>
              <w:rPr>
                <w:rFonts w:eastAsia="楷体_GB2312"/>
                <w:bCs/>
                <w:sz w:val="24"/>
              </w:rPr>
            </w:pPr>
            <w:r>
              <w:rPr>
                <w:rFonts w:hint="eastAsia" w:eastAsia="楷体_GB2312"/>
                <w:bCs/>
                <w:sz w:val="24"/>
              </w:rPr>
              <w:t>甲方</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694" w:type="dxa"/>
            <w:tcBorders>
              <w:top w:val="nil"/>
              <w:bottom w:val="single" w:color="auto" w:sz="4" w:space="0"/>
              <w:right w:val="single" w:color="auto" w:sz="4" w:space="0"/>
            </w:tcBorders>
            <w:vAlign w:val="center"/>
          </w:tcPr>
          <w:p>
            <w:pPr>
              <w:numPr>
                <w:ilvl w:val="1"/>
                <w:numId w:val="2"/>
              </w:numPr>
              <w:spacing w:line="360" w:lineRule="auto"/>
              <w:rPr>
                <w:rFonts w:eastAsia="楷体_GB2312"/>
                <w:bCs/>
                <w:sz w:val="24"/>
              </w:rPr>
            </w:pPr>
            <w:r>
              <w:rPr>
                <w:rFonts w:hint="eastAsia" w:eastAsia="楷体_GB2312"/>
                <w:bCs/>
                <w:sz w:val="24"/>
              </w:rPr>
              <w:t>结算货币</w:t>
            </w:r>
          </w:p>
        </w:tc>
        <w:tc>
          <w:tcPr>
            <w:tcW w:w="6659" w:type="dxa"/>
            <w:gridSpan w:val="2"/>
            <w:tcBorders>
              <w:top w:val="nil"/>
              <w:left w:val="single" w:color="auto" w:sz="4" w:space="0"/>
              <w:bottom w:val="single" w:color="auto" w:sz="4" w:space="0"/>
            </w:tcBorders>
          </w:tcPr>
          <w:p>
            <w:pPr>
              <w:spacing w:line="360" w:lineRule="auto"/>
              <w:jc w:val="left"/>
              <w:rPr>
                <w:rFonts w:eastAsia="楷体_GB2312"/>
                <w:bCs/>
                <w:sz w:val="24"/>
              </w:rPr>
            </w:pPr>
            <w:r>
              <w:rPr>
                <w:rFonts w:hint="eastAsia" w:eastAsia="楷体_GB2312"/>
                <w:bCs/>
                <w:sz w:val="24"/>
              </w:rPr>
              <w:t>人民币</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9353" w:type="dxa"/>
            <w:gridSpan w:val="3"/>
            <w:tcBorders>
              <w:top w:val="single" w:color="auto" w:sz="4" w:space="0"/>
              <w:bottom w:val="single" w:color="auto" w:sz="4" w:space="0"/>
            </w:tcBorders>
            <w:shd w:val="clear" w:color="auto" w:fill="C0C0C0"/>
            <w:vAlign w:val="center"/>
          </w:tcPr>
          <w:p>
            <w:pPr>
              <w:pStyle w:val="3"/>
              <w:numPr>
                <w:ilvl w:val="0"/>
                <w:numId w:val="2"/>
              </w:numPr>
              <w:spacing w:before="0" w:after="0"/>
              <w:rPr>
                <w:rFonts w:ascii="Times New Roman" w:hAnsi="Times New Roman" w:eastAsia="楷体_GB2312"/>
                <w:sz w:val="28"/>
                <w:szCs w:val="28"/>
              </w:rPr>
            </w:pPr>
            <w:r>
              <w:rPr>
                <w:rFonts w:hint="eastAsia" w:ascii="Times New Roman" w:hAnsi="Times New Roman" w:eastAsia="楷体_GB2312"/>
                <w:sz w:val="28"/>
                <w:szCs w:val="28"/>
              </w:rPr>
              <w:t>浮动收益金额条款</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2694" w:type="dxa"/>
            <w:tcBorders>
              <w:top w:val="single" w:color="auto" w:sz="4" w:space="0"/>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增强收益率（年化）</w:t>
            </w:r>
          </w:p>
        </w:tc>
        <w:tc>
          <w:tcPr>
            <w:tcW w:w="6659" w:type="dxa"/>
            <w:gridSpan w:val="2"/>
            <w:tcBorders>
              <w:top w:val="single" w:color="auto" w:sz="4" w:space="0"/>
              <w:left w:val="single" w:color="auto" w:sz="4" w:space="0"/>
              <w:bottom w:val="nil"/>
            </w:tcBorders>
          </w:tcPr>
          <w:p>
            <w:pPr>
              <w:spacing w:line="360" w:lineRule="auto"/>
              <w:jc w:val="left"/>
              <w:rPr>
                <w:rFonts w:eastAsia="楷体_GB2312"/>
                <w:bCs/>
                <w:sz w:val="24"/>
              </w:rPr>
            </w:pPr>
            <w:r>
              <w:rPr>
                <w:rFonts w:hint="eastAsia" w:eastAsia="楷体_GB2312"/>
                <w:bCs/>
                <w:sz w:val="24"/>
              </w:rPr>
              <w:t>增强收益率（年化）以本确认书附录一约定为准。</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提前终止结算金额</w:t>
            </w:r>
          </w:p>
        </w:tc>
        <w:tc>
          <w:tcPr>
            <w:tcW w:w="6659" w:type="dxa"/>
            <w:gridSpan w:val="2"/>
            <w:tcBorders>
              <w:top w:val="nil"/>
              <w:left w:val="single" w:color="auto" w:sz="4" w:space="0"/>
              <w:bottom w:val="nil"/>
            </w:tcBorders>
          </w:tcPr>
          <w:p>
            <w:pPr>
              <w:spacing w:line="360" w:lineRule="auto"/>
              <w:jc w:val="left"/>
              <w:rPr>
                <w:rFonts w:eastAsia="楷体_GB2312"/>
                <w:b/>
                <w:bCs/>
                <w:sz w:val="24"/>
              </w:rPr>
            </w:pPr>
            <w:r>
              <w:rPr>
                <w:rFonts w:hint="eastAsia" w:eastAsia="楷体_GB2312"/>
                <w:bCs/>
                <w:sz w:val="24"/>
              </w:rPr>
              <w:t>指</w:t>
            </w:r>
            <w:r>
              <w:rPr>
                <w:rFonts w:hint="eastAsia" w:eastAsia="楷体_GB2312" w:cs="楷体_GB2312"/>
                <w:sz w:val="24"/>
              </w:rPr>
              <w:t>甲方在提前终止日全部终止或部分终止该笔交易时，对应在提前终止日的参考结算金额。在提前终止日，</w:t>
            </w:r>
            <w:r>
              <w:rPr>
                <w:rFonts w:hint="eastAsia" w:eastAsia="楷体_GB2312"/>
                <w:bCs/>
                <w:sz w:val="24"/>
              </w:rPr>
              <w:t>提前终止结算金额</w:t>
            </w:r>
            <w:r>
              <w:rPr>
                <w:rFonts w:eastAsia="楷体_GB2312"/>
                <w:bCs/>
                <w:sz w:val="24"/>
              </w:rPr>
              <w:t xml:space="preserve"> = </w:t>
            </w:r>
            <w:r>
              <w:rPr>
                <w:rFonts w:hint="eastAsia" w:eastAsia="楷体_GB2312"/>
                <w:bCs/>
                <w:sz w:val="24"/>
              </w:rPr>
              <w:t>提前终止的</w:t>
            </w:r>
            <w:r>
              <w:rPr>
                <w:rFonts w:hint="eastAsia" w:ascii="楷体_GB2312" w:eastAsia="楷体_GB2312"/>
                <w:bCs/>
                <w:sz w:val="24"/>
              </w:rPr>
              <w:t>名义本金额</w:t>
            </w:r>
            <w:r>
              <w:rPr>
                <w:rFonts w:hint="eastAsia" w:eastAsia="楷体_GB2312"/>
                <w:bCs/>
                <w:sz w:val="24"/>
              </w:rPr>
              <w:t>×提前终止浮动收益率，</w:t>
            </w:r>
          </w:p>
          <w:p>
            <w:pPr>
              <w:spacing w:line="360" w:lineRule="auto"/>
              <w:jc w:val="left"/>
              <w:rPr>
                <w:rFonts w:eastAsia="楷体_GB2312" w:cs="楷体_GB2312"/>
                <w:sz w:val="24"/>
              </w:rPr>
            </w:pPr>
            <w:r>
              <w:rPr>
                <w:rFonts w:hint="eastAsia" w:eastAsia="楷体_GB2312"/>
                <w:bCs/>
                <w:sz w:val="24"/>
              </w:rPr>
              <w:t>其中提前终止浮动收益率</w:t>
            </w:r>
            <w:r>
              <w:rPr>
                <w:rFonts w:eastAsia="楷体_GB2312"/>
                <w:bCs/>
                <w:sz w:val="24"/>
              </w:rPr>
              <w:t>=</w:t>
            </w:r>
            <w:r>
              <w:rPr>
                <w:rFonts w:hint="eastAsia" w:eastAsia="楷体_GB2312" w:cs="楷体_GB2312"/>
                <w:sz w:val="24"/>
              </w:rPr>
              <w:t>标的证券在提前终止日的收盘价格</w:t>
            </w:r>
            <w:r>
              <w:rPr>
                <w:rFonts w:hint="eastAsia" w:eastAsia="楷体_GB2312"/>
                <w:bCs/>
                <w:sz w:val="24"/>
              </w:rPr>
              <w:t>或计算机构另行书面约定的结算价格÷</w:t>
            </w:r>
            <w:r>
              <w:rPr>
                <w:rFonts w:hint="eastAsia" w:eastAsia="楷体_GB2312" w:cs="楷体_GB2312"/>
                <w:sz w:val="24"/>
              </w:rPr>
              <w:t>期初价格</w:t>
            </w:r>
            <w:r>
              <w:rPr>
                <w:rFonts w:eastAsia="楷体_GB2312"/>
                <w:bCs/>
                <w:sz w:val="24"/>
              </w:rPr>
              <w:t>-1+</w:t>
            </w:r>
            <w:r>
              <w:rPr>
                <w:rFonts w:hint="eastAsia" w:eastAsia="楷体_GB2312"/>
                <w:bCs/>
                <w:sz w:val="24"/>
              </w:rPr>
              <w:t>增强收益率（年化）×期初观察日至提前终止日经过的自然天数（算头算尾）÷</w:t>
            </w:r>
            <w:r>
              <w:rPr>
                <w:rFonts w:eastAsia="楷体_GB2312"/>
                <w:bCs/>
                <w:sz w:val="24"/>
              </w:rPr>
              <w:t>365</w:t>
            </w:r>
            <w:r>
              <w:rPr>
                <w:rFonts w:hint="eastAsia" w:eastAsia="楷体_GB2312"/>
                <w:bCs/>
                <w:sz w:val="24"/>
              </w:rPr>
              <w:t>，提前终止浮动收益率四舍五入精确到小数点后第四位</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到期结算金额</w:t>
            </w:r>
          </w:p>
        </w:tc>
        <w:tc>
          <w:tcPr>
            <w:tcW w:w="6659" w:type="dxa"/>
            <w:gridSpan w:val="2"/>
            <w:tcBorders>
              <w:top w:val="nil"/>
              <w:left w:val="single" w:color="auto" w:sz="4" w:space="0"/>
              <w:bottom w:val="nil"/>
            </w:tcBorders>
          </w:tcPr>
          <w:p>
            <w:pPr>
              <w:spacing w:line="360" w:lineRule="auto"/>
              <w:ind w:firstLine="480" w:firstLineChars="200"/>
              <w:jc w:val="left"/>
              <w:rPr>
                <w:rFonts w:ascii="楷体_GB2312" w:eastAsia="楷体_GB2312"/>
                <w:bCs/>
                <w:sz w:val="24"/>
              </w:rPr>
            </w:pPr>
            <w:r>
              <w:rPr>
                <w:rFonts w:hint="eastAsia" w:eastAsia="楷体_GB2312"/>
                <w:b/>
                <w:bCs/>
                <w:sz w:val="24"/>
              </w:rPr>
              <w:t>调整后的名义本金额</w:t>
            </w:r>
            <w:r>
              <w:rPr>
                <w:rFonts w:eastAsia="楷体_GB2312"/>
                <w:bCs/>
                <w:sz w:val="24"/>
              </w:rPr>
              <w:t xml:space="preserve">= </w:t>
            </w:r>
            <w:r>
              <w:rPr>
                <w:rFonts w:hint="eastAsia" w:ascii="楷体_GB2312" w:eastAsia="楷体_GB2312"/>
                <w:bCs/>
                <w:sz w:val="24"/>
              </w:rPr>
              <w:t>名义本金额扣除已提前终止的名义本金额，若交易没有提前终止部分，则调整后的名义本金额为原名义本金额</w:t>
            </w:r>
          </w:p>
          <w:p>
            <w:pPr>
              <w:spacing w:line="360" w:lineRule="auto"/>
              <w:ind w:firstLine="480" w:firstLineChars="200"/>
              <w:jc w:val="left"/>
              <w:rPr>
                <w:rFonts w:eastAsia="楷体_GB2312"/>
                <w:bCs/>
                <w:sz w:val="24"/>
              </w:rPr>
            </w:pPr>
            <w:r>
              <w:rPr>
                <w:rFonts w:hint="eastAsia" w:eastAsia="楷体_GB2312" w:cs="楷体_GB2312"/>
                <w:sz w:val="24"/>
              </w:rPr>
              <w:t>在期末观察日，</w:t>
            </w:r>
            <w:r>
              <w:rPr>
                <w:rFonts w:hint="eastAsia" w:eastAsia="楷体_GB2312"/>
                <w:bCs/>
                <w:sz w:val="24"/>
              </w:rPr>
              <w:t>到期结算金额</w:t>
            </w:r>
            <w:r>
              <w:rPr>
                <w:rFonts w:eastAsia="楷体_GB2312"/>
                <w:bCs/>
                <w:sz w:val="24"/>
              </w:rPr>
              <w:t xml:space="preserve"> =</w:t>
            </w:r>
            <w:r>
              <w:rPr>
                <w:rFonts w:hint="eastAsia" w:eastAsia="楷体_GB2312"/>
                <w:bCs/>
                <w:sz w:val="24"/>
              </w:rPr>
              <w:t>调整后的名义本金额×到期浮动收益率。</w:t>
            </w:r>
          </w:p>
          <w:p>
            <w:pPr>
              <w:spacing w:line="360" w:lineRule="auto"/>
              <w:ind w:firstLine="480" w:firstLineChars="200"/>
              <w:jc w:val="left"/>
              <w:rPr>
                <w:rFonts w:eastAsia="楷体_GB2312" w:cstheme="majorBidi"/>
                <w:b/>
                <w:bCs/>
                <w:sz w:val="24"/>
              </w:rPr>
            </w:pPr>
            <w:r>
              <w:rPr>
                <w:rFonts w:hint="eastAsia" w:eastAsia="楷体_GB2312"/>
                <w:bCs/>
                <w:sz w:val="24"/>
              </w:rPr>
              <w:t>其中到期浮动收益率</w:t>
            </w:r>
            <w:r>
              <w:rPr>
                <w:rFonts w:eastAsia="楷体_GB2312"/>
                <w:bCs/>
                <w:sz w:val="24"/>
              </w:rPr>
              <w:t>=</w:t>
            </w:r>
            <w:r>
              <w:rPr>
                <w:rFonts w:hint="eastAsia" w:eastAsia="楷体_GB2312" w:cs="楷体_GB2312"/>
                <w:sz w:val="24"/>
              </w:rPr>
              <w:t>期末价格</w:t>
            </w:r>
            <w:r>
              <w:rPr>
                <w:rFonts w:hint="eastAsia" w:eastAsia="楷体_GB2312"/>
                <w:bCs/>
                <w:sz w:val="24"/>
              </w:rPr>
              <w:t>÷</w:t>
            </w:r>
            <w:r>
              <w:rPr>
                <w:rFonts w:hint="eastAsia" w:eastAsia="楷体_GB2312" w:cs="楷体_GB2312"/>
                <w:sz w:val="24"/>
              </w:rPr>
              <w:t>期初价格</w:t>
            </w:r>
            <w:r>
              <w:rPr>
                <w:rFonts w:eastAsia="楷体_GB2312" w:cs="楷体_GB2312"/>
                <w:sz w:val="24"/>
              </w:rPr>
              <w:t>-1+</w:t>
            </w:r>
            <w:r>
              <w:rPr>
                <w:rFonts w:hint="eastAsia" w:eastAsia="楷体_GB2312"/>
                <w:bCs/>
                <w:sz w:val="24"/>
              </w:rPr>
              <w:t>增强收益率（年化）×期初观察日至期末观察日经过的自然天数（算头算尾）÷</w:t>
            </w:r>
            <w:r>
              <w:rPr>
                <w:rFonts w:eastAsia="楷体_GB2312"/>
                <w:bCs/>
                <w:sz w:val="24"/>
              </w:rPr>
              <w:t>365</w:t>
            </w:r>
            <w:r>
              <w:rPr>
                <w:rFonts w:hint="eastAsia" w:eastAsia="楷体_GB2312" w:cs="楷体_GB2312"/>
                <w:sz w:val="24"/>
              </w:rPr>
              <w:t>，</w:t>
            </w:r>
            <w:r>
              <w:rPr>
                <w:rFonts w:hint="eastAsia" w:eastAsia="楷体_GB2312"/>
                <w:bCs/>
                <w:sz w:val="24"/>
              </w:rPr>
              <w:t>到期浮动收益率四舍五入精确到小数点后第四位</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bookmarkStart w:id="9" w:name="_Ref347491949"/>
            <w:r>
              <w:rPr>
                <w:rFonts w:hint="eastAsia" w:eastAsia="楷体_GB2312"/>
                <w:bCs/>
                <w:sz w:val="24"/>
              </w:rPr>
              <w:t>浮动收益金额的支付</w:t>
            </w:r>
            <w:bookmarkEnd w:id="9"/>
          </w:p>
        </w:tc>
        <w:tc>
          <w:tcPr>
            <w:tcW w:w="6659" w:type="dxa"/>
            <w:gridSpan w:val="2"/>
            <w:tcBorders>
              <w:top w:val="nil"/>
              <w:left w:val="single" w:color="auto" w:sz="4" w:space="0"/>
              <w:bottom w:val="nil"/>
            </w:tcBorders>
          </w:tcPr>
          <w:p>
            <w:pPr>
              <w:spacing w:line="360" w:lineRule="auto"/>
              <w:jc w:val="left"/>
              <w:rPr>
                <w:rFonts w:eastAsia="楷体_GB2312"/>
                <w:bCs/>
                <w:sz w:val="24"/>
              </w:rPr>
            </w:pPr>
            <w:r>
              <w:rPr>
                <w:rFonts w:hint="eastAsia" w:eastAsia="楷体_GB2312"/>
                <w:bCs/>
                <w:sz w:val="24"/>
              </w:rPr>
              <w:t>将提前终止结算金额、到期结算金额统称为浮动收益金额，浮动收益金额按四舍五入精确到小数点后第二位。</w:t>
            </w:r>
          </w:p>
          <w:p>
            <w:pPr>
              <w:spacing w:line="360" w:lineRule="auto"/>
              <w:jc w:val="left"/>
              <w:rPr>
                <w:rFonts w:eastAsia="楷体_GB2312"/>
                <w:bCs/>
                <w:sz w:val="24"/>
              </w:rPr>
            </w:pPr>
            <w:r>
              <w:rPr>
                <w:rFonts w:hint="eastAsia" w:eastAsia="楷体_GB2312"/>
                <w:bCs/>
                <w:sz w:val="24"/>
              </w:rPr>
              <w:t>若浮动收益金额≥</w:t>
            </w:r>
            <w:r>
              <w:rPr>
                <w:rFonts w:eastAsia="楷体_GB2312"/>
                <w:bCs/>
                <w:sz w:val="24"/>
              </w:rPr>
              <w:t>0</w:t>
            </w:r>
            <w:r>
              <w:rPr>
                <w:rFonts w:hint="eastAsia" w:eastAsia="楷体_GB2312"/>
                <w:bCs/>
                <w:sz w:val="24"/>
              </w:rPr>
              <w:t>，则由甲方在到期日向乙方支付浮动收益金额。</w:t>
            </w:r>
          </w:p>
          <w:p>
            <w:pPr>
              <w:spacing w:line="360" w:lineRule="auto"/>
              <w:jc w:val="left"/>
              <w:rPr>
                <w:rFonts w:eastAsia="楷体_GB2312"/>
                <w:bCs/>
                <w:sz w:val="24"/>
              </w:rPr>
            </w:pPr>
            <w:r>
              <w:rPr>
                <w:rFonts w:hint="eastAsia" w:eastAsia="楷体_GB2312"/>
                <w:bCs/>
                <w:sz w:val="24"/>
              </w:rPr>
              <w:t>若浮动收益金额</w:t>
            </w:r>
            <w:r>
              <w:rPr>
                <w:rFonts w:eastAsia="楷体_GB2312"/>
                <w:bCs/>
                <w:sz w:val="24"/>
              </w:rPr>
              <w:t>&lt;0</w:t>
            </w:r>
            <w:r>
              <w:rPr>
                <w:rFonts w:hint="eastAsia" w:eastAsia="楷体_GB2312"/>
                <w:bCs/>
                <w:sz w:val="24"/>
              </w:rPr>
              <w:t>，则由乙方在到期日向甲方支付浮动收益金额的绝对值。</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9353" w:type="dxa"/>
            <w:gridSpan w:val="3"/>
            <w:tcBorders>
              <w:top w:val="single" w:color="auto" w:sz="4" w:space="0"/>
              <w:bottom w:val="single" w:color="auto" w:sz="4" w:space="0"/>
            </w:tcBorders>
            <w:shd w:val="clear" w:color="auto" w:fill="C0C0C0"/>
            <w:vAlign w:val="center"/>
          </w:tcPr>
          <w:p>
            <w:pPr>
              <w:pStyle w:val="3"/>
              <w:numPr>
                <w:ilvl w:val="0"/>
                <w:numId w:val="2"/>
              </w:numPr>
              <w:spacing w:before="0" w:after="0"/>
              <w:rPr>
                <w:rFonts w:ascii="Times New Roman" w:hAnsi="Times New Roman" w:eastAsia="楷体_GB2312"/>
                <w:sz w:val="28"/>
                <w:szCs w:val="28"/>
              </w:rPr>
            </w:pPr>
            <w:r>
              <w:rPr>
                <w:rFonts w:hint="eastAsia" w:ascii="Times New Roman" w:hAnsi="Times New Roman" w:eastAsia="楷体_GB2312"/>
                <w:sz w:val="28"/>
                <w:szCs w:val="28"/>
              </w:rPr>
              <w:t>固定收益金额条款</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固定收益支付方</w:t>
            </w:r>
          </w:p>
        </w:tc>
        <w:tc>
          <w:tcPr>
            <w:tcW w:w="6659" w:type="dxa"/>
            <w:gridSpan w:val="2"/>
            <w:tcBorders>
              <w:top w:val="nil"/>
              <w:left w:val="single" w:color="auto" w:sz="4" w:space="0"/>
              <w:bottom w:val="nil"/>
            </w:tcBorders>
          </w:tcPr>
          <w:p>
            <w:pPr>
              <w:spacing w:line="360" w:lineRule="auto"/>
              <w:jc w:val="left"/>
              <w:rPr>
                <w:rFonts w:eastAsia="楷体_GB2312"/>
                <w:bCs/>
                <w:sz w:val="24"/>
              </w:rPr>
            </w:pPr>
            <w:r>
              <w:rPr>
                <w:rFonts w:hint="eastAsia" w:eastAsia="楷体_GB2312"/>
                <w:bCs/>
                <w:sz w:val="24"/>
              </w:rPr>
              <w:t>{{买方}}</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固定收益接收方</w:t>
            </w:r>
          </w:p>
        </w:tc>
        <w:tc>
          <w:tcPr>
            <w:tcW w:w="6659" w:type="dxa"/>
            <w:gridSpan w:val="2"/>
            <w:tcBorders>
              <w:top w:val="nil"/>
              <w:left w:val="single" w:color="auto" w:sz="4" w:space="0"/>
              <w:bottom w:val="nil"/>
            </w:tcBorders>
          </w:tcPr>
          <w:p>
            <w:pPr>
              <w:spacing w:line="360" w:lineRule="auto"/>
              <w:jc w:val="left"/>
              <w:rPr>
                <w:rFonts w:eastAsia="楷体_GB2312"/>
                <w:bCs/>
                <w:sz w:val="24"/>
              </w:rPr>
            </w:pPr>
            <w:r>
              <w:rPr>
                <w:rFonts w:hint="eastAsia" w:eastAsia="楷体_GB2312"/>
                <w:bCs/>
                <w:sz w:val="24"/>
              </w:rPr>
              <w:t>{{卖方}}</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固定收益率</w:t>
            </w:r>
          </w:p>
        </w:tc>
        <w:tc>
          <w:tcPr>
            <w:tcW w:w="6659" w:type="dxa"/>
            <w:gridSpan w:val="2"/>
            <w:tcBorders>
              <w:top w:val="nil"/>
              <w:left w:val="single" w:color="auto" w:sz="4" w:space="0"/>
              <w:bottom w:val="nil"/>
            </w:tcBorders>
          </w:tcPr>
          <w:p>
            <w:pPr>
              <w:spacing w:line="360" w:lineRule="auto"/>
              <w:jc w:val="left"/>
              <w:rPr>
                <w:rFonts w:eastAsia="楷体_GB2312"/>
                <w:bCs/>
                <w:sz w:val="24"/>
              </w:rPr>
            </w:pPr>
            <w:r>
              <w:rPr>
                <w:rFonts w:hint="eastAsia" w:eastAsia="楷体_GB2312"/>
                <w:bCs/>
                <w:sz w:val="24"/>
              </w:rPr>
              <w:t>固定收益率以本确认书附录一约定为准。</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固定收益金额</w:t>
            </w:r>
          </w:p>
        </w:tc>
        <w:tc>
          <w:tcPr>
            <w:tcW w:w="6659" w:type="dxa"/>
            <w:gridSpan w:val="2"/>
            <w:tcBorders>
              <w:top w:val="nil"/>
              <w:left w:val="single" w:color="auto" w:sz="4" w:space="0"/>
              <w:bottom w:val="nil"/>
            </w:tcBorders>
          </w:tcPr>
          <w:p>
            <w:pPr>
              <w:spacing w:line="360" w:lineRule="auto"/>
              <w:jc w:val="left"/>
              <w:rPr>
                <w:rFonts w:eastAsia="楷体_GB2312"/>
                <w:bCs/>
                <w:sz w:val="24"/>
              </w:rPr>
            </w:pPr>
            <w:r>
              <w:rPr>
                <w:rFonts w:hint="eastAsia" w:eastAsia="楷体_GB2312"/>
                <w:bCs/>
                <w:sz w:val="24"/>
              </w:rPr>
              <w:t>若存在提前终止或部分提前终止交易，则在提前终止日，固定收益金额</w:t>
            </w:r>
            <w:r>
              <w:rPr>
                <w:rFonts w:eastAsia="楷体_GB2312"/>
                <w:bCs/>
                <w:sz w:val="24"/>
              </w:rPr>
              <w:t>=</w:t>
            </w:r>
            <w:r>
              <w:rPr>
                <w:rFonts w:hint="eastAsia" w:eastAsia="楷体_GB2312"/>
                <w:bCs/>
                <w:sz w:val="24"/>
              </w:rPr>
              <w:t>提前终止的</w:t>
            </w:r>
            <w:r>
              <w:rPr>
                <w:rFonts w:hint="eastAsia" w:ascii="楷体_GB2312" w:eastAsia="楷体_GB2312"/>
                <w:bCs/>
                <w:sz w:val="24"/>
              </w:rPr>
              <w:t>名义本金额</w:t>
            </w:r>
            <w:r>
              <w:rPr>
                <w:rFonts w:hint="eastAsia" w:eastAsia="楷体_GB2312"/>
                <w:bCs/>
                <w:sz w:val="24"/>
              </w:rPr>
              <w:t>×固定收益率×期初观察日（含）至提前终止日（含）的自然日天数</w:t>
            </w:r>
            <w:r>
              <w:rPr>
                <w:rFonts w:eastAsia="楷体_GB2312"/>
                <w:bCs/>
                <w:sz w:val="24"/>
              </w:rPr>
              <w:t>÷365</w:t>
            </w:r>
            <w:r>
              <w:rPr>
                <w:rFonts w:hint="eastAsia" w:eastAsia="楷体_GB2312"/>
                <w:bCs/>
                <w:sz w:val="24"/>
              </w:rPr>
              <w:t>。</w:t>
            </w:r>
          </w:p>
          <w:p>
            <w:pPr>
              <w:spacing w:line="360" w:lineRule="auto"/>
              <w:jc w:val="left"/>
              <w:rPr>
                <w:rFonts w:eastAsia="楷体_GB2312"/>
                <w:bCs/>
                <w:sz w:val="24"/>
              </w:rPr>
            </w:pPr>
            <w:r>
              <w:rPr>
                <w:rFonts w:hint="eastAsia" w:eastAsia="楷体_GB2312"/>
                <w:bCs/>
                <w:sz w:val="24"/>
              </w:rPr>
              <w:t>在期末观察日，固定收益金额</w:t>
            </w:r>
            <w:r>
              <w:rPr>
                <w:rFonts w:eastAsia="楷体_GB2312"/>
                <w:bCs/>
                <w:sz w:val="24"/>
              </w:rPr>
              <w:t xml:space="preserve"> =</w:t>
            </w:r>
            <w:r>
              <w:rPr>
                <w:rFonts w:hint="eastAsia" w:eastAsia="楷体_GB2312"/>
                <w:bCs/>
                <w:sz w:val="24"/>
              </w:rPr>
              <w:t>调整后的名义本金额×固定收益率×期初观察日（含）至期末观察日（含）的自然日天数÷</w:t>
            </w:r>
            <w:r>
              <w:rPr>
                <w:rFonts w:eastAsia="楷体_GB2312"/>
                <w:bCs/>
                <w:sz w:val="24"/>
              </w:rPr>
              <w:t>365</w:t>
            </w:r>
            <w:r>
              <w:rPr>
                <w:rFonts w:hint="eastAsia" w:eastAsia="楷体_GB2312"/>
                <w:bCs/>
                <w:sz w:val="24"/>
              </w:rPr>
              <w: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固定收益支付日</w:t>
            </w:r>
          </w:p>
        </w:tc>
        <w:tc>
          <w:tcPr>
            <w:tcW w:w="6659" w:type="dxa"/>
            <w:gridSpan w:val="2"/>
            <w:tcBorders>
              <w:top w:val="nil"/>
              <w:left w:val="single" w:color="auto" w:sz="4" w:space="0"/>
              <w:bottom w:val="nil"/>
            </w:tcBorders>
          </w:tcPr>
          <w:p>
            <w:pPr>
              <w:spacing w:line="360" w:lineRule="auto"/>
              <w:jc w:val="left"/>
              <w:rPr>
                <w:rFonts w:eastAsia="楷体_GB2312"/>
                <w:bCs/>
                <w:sz w:val="24"/>
              </w:rPr>
            </w:pPr>
            <w:r>
              <w:rPr>
                <w:rFonts w:hint="eastAsia" w:eastAsia="楷体_GB2312"/>
                <w:bCs/>
                <w:sz w:val="24"/>
              </w:rPr>
              <w:t>到期日</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jc w:val="center"/>
        </w:trPr>
        <w:tc>
          <w:tcPr>
            <w:tcW w:w="2694" w:type="dxa"/>
            <w:tcBorders>
              <w:top w:val="nil"/>
              <w:bottom w:val="nil"/>
              <w:right w:val="single" w:color="auto" w:sz="4" w:space="0"/>
            </w:tcBorders>
          </w:tcPr>
          <w:p>
            <w:pPr>
              <w:numPr>
                <w:ilvl w:val="1"/>
                <w:numId w:val="2"/>
              </w:numPr>
              <w:spacing w:line="360" w:lineRule="auto"/>
              <w:rPr>
                <w:rFonts w:eastAsia="楷体_GB2312"/>
                <w:bCs/>
                <w:sz w:val="24"/>
              </w:rPr>
            </w:pPr>
            <w:r>
              <w:rPr>
                <w:rFonts w:hint="eastAsia" w:eastAsia="楷体_GB2312"/>
                <w:bCs/>
                <w:sz w:val="24"/>
              </w:rPr>
              <w:t>固定收益支付</w:t>
            </w:r>
          </w:p>
        </w:tc>
        <w:tc>
          <w:tcPr>
            <w:tcW w:w="6659" w:type="dxa"/>
            <w:gridSpan w:val="2"/>
            <w:tcBorders>
              <w:top w:val="nil"/>
              <w:left w:val="single" w:color="auto" w:sz="4" w:space="0"/>
              <w:bottom w:val="nil"/>
            </w:tcBorders>
          </w:tcPr>
          <w:p>
            <w:pPr>
              <w:spacing w:line="360" w:lineRule="auto"/>
              <w:jc w:val="left"/>
              <w:rPr>
                <w:rFonts w:eastAsia="楷体_GB2312"/>
                <w:bCs/>
                <w:sz w:val="24"/>
              </w:rPr>
            </w:pPr>
            <w:r>
              <w:rPr>
                <w:rFonts w:hint="eastAsia" w:eastAsia="楷体_GB2312"/>
                <w:bCs/>
                <w:sz w:val="24"/>
              </w:rPr>
              <w:t>固定收益支付方在固定收益支付日向固定收益接收方支付固定收益金额。</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9353" w:type="dxa"/>
            <w:gridSpan w:val="3"/>
            <w:tcBorders>
              <w:top w:val="single" w:color="auto" w:sz="4" w:space="0"/>
              <w:bottom w:val="single" w:color="auto" w:sz="4" w:space="0"/>
            </w:tcBorders>
            <w:shd w:val="clear" w:color="auto" w:fill="C0C0C0"/>
            <w:vAlign w:val="center"/>
          </w:tcPr>
          <w:p>
            <w:pPr>
              <w:pStyle w:val="3"/>
              <w:numPr>
                <w:ilvl w:val="0"/>
                <w:numId w:val="2"/>
              </w:numPr>
              <w:spacing w:before="0" w:after="0"/>
              <w:rPr>
                <w:rFonts w:ascii="Times New Roman" w:hAnsi="Times New Roman" w:eastAsia="楷体_GB2312"/>
                <w:sz w:val="28"/>
                <w:szCs w:val="28"/>
              </w:rPr>
            </w:pPr>
            <w:r>
              <w:rPr>
                <w:rFonts w:hint="eastAsia" w:ascii="Times New Roman" w:hAnsi="Times New Roman" w:eastAsia="楷体_GB2312"/>
                <w:sz w:val="28"/>
                <w:szCs w:val="28"/>
              </w:rPr>
              <w:t>异常事件及提前终止条款</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6" w:type="dxa"/>
          <w:trHeight w:val="438" w:hRule="atLeast"/>
          <w:jc w:val="center"/>
        </w:trPr>
        <w:tc>
          <w:tcPr>
            <w:tcW w:w="2694" w:type="dxa"/>
            <w:tcBorders>
              <w:top w:val="nil"/>
              <w:right w:val="single" w:color="auto" w:sz="4" w:space="0"/>
            </w:tcBorders>
          </w:tcPr>
          <w:p>
            <w:pPr>
              <w:numPr>
                <w:ilvl w:val="1"/>
                <w:numId w:val="3"/>
              </w:numPr>
              <w:spacing w:line="0" w:lineRule="atLeast"/>
              <w:rPr>
                <w:rFonts w:ascii="楷体_GB2312" w:eastAsia="楷体_GB2312"/>
                <w:bCs/>
                <w:sz w:val="24"/>
              </w:rPr>
            </w:pPr>
            <w:r>
              <w:rPr>
                <w:rFonts w:hint="eastAsia" w:ascii="楷体_GB2312" w:eastAsia="楷体_GB2312"/>
                <w:bCs/>
                <w:sz w:val="24"/>
              </w:rPr>
              <w:t>异常事件</w:t>
            </w:r>
          </w:p>
        </w:tc>
        <w:tc>
          <w:tcPr>
            <w:tcW w:w="6633" w:type="dxa"/>
            <w:tcBorders>
              <w:top w:val="nil"/>
              <w:left w:val="single" w:color="auto" w:sz="4" w:space="0"/>
            </w:tcBorders>
          </w:tcPr>
          <w:p>
            <w:pPr>
              <w:spacing w:line="360" w:lineRule="auto"/>
              <w:jc w:val="left"/>
              <w:rPr>
                <w:rFonts w:eastAsia="楷体_GB2312"/>
                <w:bCs/>
                <w:sz w:val="24"/>
              </w:rPr>
            </w:pPr>
            <w:r>
              <w:rPr>
                <w:rFonts w:hint="eastAsia" w:eastAsia="楷体_GB2312"/>
                <w:bCs/>
                <w:sz w:val="24"/>
              </w:rPr>
              <w:t>适用法律、法规、监管规则及其相关解释及适用的变化，或不可抗力、政府行为，或标的证券被取消交易，或证监会及交易所等监管或自律组织的交易限制、窗口指导等其他非甲方可以控制的事件发生导致甲方持有、取得和处置相关标的证券的行为或继续执行本交易的行为变得不可能、不可行或构成违法违规。</w:t>
            </w:r>
          </w:p>
          <w:p>
            <w:pPr>
              <w:spacing w:line="360" w:lineRule="auto"/>
              <w:jc w:val="left"/>
              <w:rPr>
                <w:rFonts w:eastAsia="楷体_GB2312"/>
                <w:bCs/>
                <w:sz w:val="24"/>
              </w:rPr>
            </w:pPr>
            <w:r>
              <w:rPr>
                <w:rFonts w:hint="eastAsia" w:eastAsia="楷体_GB2312"/>
                <w:bCs/>
                <w:sz w:val="24"/>
              </w:rPr>
              <w:t>标的证券在标的证券观察期间的任一原定交易日发生提早闭市、标的停牌、标的跌停、交易中断、交易所中断、指数发起人发生权益类标的调整事件等影响计算机构观察标的证券收盘价格、交易等的事件。</w:t>
            </w:r>
          </w:p>
          <w:p>
            <w:pPr>
              <w:spacing w:line="360" w:lineRule="auto"/>
              <w:jc w:val="left"/>
              <w:rPr>
                <w:rFonts w:eastAsia="楷体_GB2312"/>
                <w:bCs/>
                <w:sz w:val="24"/>
              </w:rPr>
            </w:pPr>
            <w:r>
              <w:rPr>
                <w:rFonts w:hint="eastAsia" w:eastAsia="楷体_GB2312"/>
                <w:bCs/>
                <w:sz w:val="24"/>
              </w:rPr>
              <w:t>其中，标的停牌具体指构成标的证券的成分股中超过【</w:t>
            </w:r>
            <w:r>
              <w:rPr>
                <w:rFonts w:eastAsia="楷体_GB2312"/>
                <w:bCs/>
                <w:sz w:val="24"/>
              </w:rPr>
              <w:t>20%</w:t>
            </w:r>
            <w:r>
              <w:rPr>
                <w:rFonts w:hint="eastAsia" w:eastAsia="楷体_GB2312"/>
                <w:bCs/>
                <w:sz w:val="24"/>
              </w:rPr>
              <w:t>】的股票发生停牌或交易所采取技术性停牌或决定临时停市。</w:t>
            </w:r>
          </w:p>
          <w:p>
            <w:pPr>
              <w:spacing w:line="360" w:lineRule="auto"/>
              <w:jc w:val="left"/>
              <w:rPr>
                <w:rFonts w:eastAsia="楷体_GB2312"/>
                <w:bCs/>
                <w:sz w:val="24"/>
              </w:rPr>
            </w:pPr>
            <w:r>
              <w:rPr>
                <w:rFonts w:hint="eastAsia" w:eastAsia="楷体_GB2312"/>
                <w:bCs/>
                <w:sz w:val="24"/>
              </w:rPr>
              <w:t>交易中断、交易所中断、提早闭市、指数发起人发生权益类标的调整事件等市场中断事件相关定义同《中国证券期货市场场外衍生品交易权益类衍生品定义文件（</w:t>
            </w:r>
            <w:r>
              <w:rPr>
                <w:rFonts w:eastAsia="楷体_GB2312"/>
                <w:bCs/>
                <w:sz w:val="24"/>
              </w:rPr>
              <w:t>2014</w:t>
            </w:r>
            <w:r>
              <w:rPr>
                <w:rFonts w:hint="eastAsia" w:eastAsia="楷体_GB2312"/>
                <w:bCs/>
                <w:sz w:val="24"/>
              </w:rPr>
              <w:t>年版）》。</w:t>
            </w:r>
          </w:p>
          <w:p>
            <w:pPr>
              <w:spacing w:line="360" w:lineRule="auto"/>
              <w:jc w:val="left"/>
              <w:rPr>
                <w:rFonts w:eastAsia="楷体_GB2312"/>
                <w:bCs/>
                <w:sz w:val="24"/>
              </w:rPr>
            </w:pPr>
            <w:r>
              <w:rPr>
                <w:rFonts w:hint="eastAsia" w:eastAsia="楷体_GB2312"/>
                <w:bCs/>
                <w:sz w:val="24"/>
              </w:rPr>
              <w:t>标的跌停指构成标的证券的成分股中超过【</w:t>
            </w:r>
            <w:r>
              <w:rPr>
                <w:rFonts w:eastAsia="楷体_GB2312"/>
                <w:bCs/>
                <w:sz w:val="24"/>
              </w:rPr>
              <w:t>20%</w:t>
            </w:r>
            <w:r>
              <w:rPr>
                <w:rFonts w:hint="eastAsia" w:eastAsia="楷体_GB2312"/>
                <w:bCs/>
                <w:sz w:val="24"/>
              </w:rPr>
              <w:t>】的股票发生触及市场跌停限制的情况。</w:t>
            </w:r>
          </w:p>
          <w:p>
            <w:pPr>
              <w:spacing w:line="360" w:lineRule="auto"/>
              <w:jc w:val="left"/>
              <w:rPr>
                <w:rFonts w:eastAsia="楷体_GB2312"/>
                <w:bCs/>
                <w:sz w:val="24"/>
              </w:rPr>
            </w:pPr>
            <w:r>
              <w:rPr>
                <w:rFonts w:hint="eastAsia" w:eastAsia="楷体_GB2312"/>
                <w:bCs/>
                <w:sz w:val="24"/>
              </w:rPr>
              <w:t>如构成标的证券的成分证券发生市场中断事件，则该证券在挂钩标的中的权重百分比应基于在该等市场中断事件发生前的最近时刻，该指数成份股占该标的证券的权重确定。</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6" w:type="dxa"/>
          <w:trHeight w:val="1005" w:hRule="atLeast"/>
          <w:jc w:val="center"/>
        </w:trPr>
        <w:tc>
          <w:tcPr>
            <w:tcW w:w="2694" w:type="dxa"/>
            <w:tcBorders>
              <w:top w:val="nil"/>
              <w:right w:val="single" w:color="auto" w:sz="4" w:space="0"/>
            </w:tcBorders>
          </w:tcPr>
          <w:p>
            <w:pPr>
              <w:numPr>
                <w:ilvl w:val="1"/>
                <w:numId w:val="3"/>
              </w:numPr>
              <w:spacing w:line="0" w:lineRule="atLeast"/>
              <w:rPr>
                <w:rFonts w:ascii="楷体_GB2312" w:eastAsia="楷体_GB2312"/>
                <w:bCs/>
                <w:sz w:val="24"/>
              </w:rPr>
            </w:pPr>
            <w:r>
              <w:rPr>
                <w:rFonts w:hint="eastAsia" w:ascii="楷体_GB2312" w:eastAsia="楷体_GB2312"/>
                <w:bCs/>
                <w:sz w:val="24"/>
              </w:rPr>
              <w:t>甲方有权提前终止的情形</w:t>
            </w:r>
          </w:p>
          <w:p>
            <w:pPr>
              <w:spacing w:line="0" w:lineRule="atLeast"/>
              <w:rPr>
                <w:rFonts w:ascii="楷体_GB2312" w:eastAsia="楷体_GB2312"/>
                <w:bCs/>
                <w:sz w:val="24"/>
              </w:rPr>
            </w:pPr>
          </w:p>
          <w:p>
            <w:pPr>
              <w:spacing w:line="0" w:lineRule="atLeast"/>
              <w:rPr>
                <w:rFonts w:ascii="楷体_GB2312" w:eastAsia="楷体_GB2312"/>
                <w:bCs/>
                <w:sz w:val="24"/>
              </w:rPr>
            </w:pPr>
          </w:p>
          <w:p>
            <w:pPr>
              <w:spacing w:line="0" w:lineRule="atLeast"/>
              <w:rPr>
                <w:rFonts w:ascii="楷体_GB2312" w:eastAsia="楷体_GB2312"/>
                <w:bCs/>
                <w:sz w:val="24"/>
              </w:rPr>
            </w:pPr>
          </w:p>
          <w:p>
            <w:pPr>
              <w:spacing w:line="0" w:lineRule="atLeast"/>
              <w:rPr>
                <w:rFonts w:ascii="楷体_GB2312" w:eastAsia="楷体_GB2312"/>
                <w:bCs/>
                <w:sz w:val="24"/>
              </w:rPr>
            </w:pPr>
          </w:p>
          <w:p>
            <w:pPr>
              <w:spacing w:line="0" w:lineRule="atLeast"/>
              <w:rPr>
                <w:rFonts w:ascii="楷体_GB2312" w:eastAsia="楷体_GB2312"/>
                <w:bCs/>
                <w:sz w:val="24"/>
              </w:rPr>
            </w:pPr>
          </w:p>
          <w:p>
            <w:pPr>
              <w:spacing w:line="0" w:lineRule="atLeast"/>
              <w:rPr>
                <w:rFonts w:ascii="楷体_GB2312" w:eastAsia="楷体_GB2312"/>
                <w:bCs/>
                <w:sz w:val="24"/>
              </w:rPr>
            </w:pPr>
          </w:p>
          <w:p>
            <w:pPr>
              <w:spacing w:line="0" w:lineRule="atLeast"/>
              <w:rPr>
                <w:rFonts w:ascii="楷体_GB2312" w:eastAsia="楷体_GB2312"/>
                <w:bCs/>
                <w:sz w:val="24"/>
              </w:rPr>
            </w:pPr>
          </w:p>
          <w:p>
            <w:pPr>
              <w:spacing w:line="0" w:lineRule="atLeast"/>
              <w:rPr>
                <w:rFonts w:ascii="楷体_GB2312" w:eastAsia="楷体_GB2312"/>
                <w:bCs/>
                <w:sz w:val="24"/>
              </w:rPr>
            </w:pPr>
          </w:p>
          <w:p>
            <w:pPr>
              <w:spacing w:line="0" w:lineRule="atLeast"/>
              <w:rPr>
                <w:rFonts w:ascii="楷体_GB2312" w:eastAsia="楷体_GB2312"/>
                <w:bCs/>
                <w:sz w:val="24"/>
              </w:rPr>
            </w:pPr>
          </w:p>
          <w:p>
            <w:pPr>
              <w:spacing w:line="0" w:lineRule="atLeast"/>
              <w:rPr>
                <w:rFonts w:ascii="楷体_GB2312" w:eastAsia="楷体_GB2312"/>
                <w:bCs/>
                <w:sz w:val="24"/>
              </w:rPr>
            </w:pPr>
          </w:p>
          <w:p>
            <w:pPr>
              <w:spacing w:line="0" w:lineRule="atLeast"/>
              <w:rPr>
                <w:rFonts w:ascii="楷体_GB2312" w:eastAsia="楷体_GB2312"/>
                <w:bCs/>
                <w:sz w:val="24"/>
              </w:rPr>
            </w:pPr>
          </w:p>
          <w:p>
            <w:pPr>
              <w:spacing w:line="0" w:lineRule="atLeast"/>
              <w:rPr>
                <w:rFonts w:ascii="楷体_GB2312" w:eastAsia="楷体_GB2312"/>
                <w:bCs/>
                <w:sz w:val="24"/>
              </w:rPr>
            </w:pPr>
          </w:p>
        </w:tc>
        <w:tc>
          <w:tcPr>
            <w:tcW w:w="6633" w:type="dxa"/>
            <w:tcBorders>
              <w:top w:val="nil"/>
              <w:left w:val="single" w:color="auto" w:sz="4" w:space="0"/>
            </w:tcBorders>
          </w:tcPr>
          <w:p>
            <w:pPr>
              <w:spacing w:line="360" w:lineRule="auto"/>
              <w:jc w:val="left"/>
              <w:rPr>
                <w:rFonts w:eastAsia="楷体_GB2312"/>
                <w:bCs/>
                <w:sz w:val="24"/>
              </w:rPr>
            </w:pPr>
            <w:r>
              <w:rPr>
                <w:rFonts w:hint="eastAsia" w:eastAsia="楷体_GB2312"/>
                <w:bCs/>
                <w:sz w:val="24"/>
              </w:rPr>
              <w:t>发生第</w:t>
            </w:r>
            <w:r>
              <w:rPr>
                <w:rFonts w:eastAsia="楷体_GB2312"/>
                <w:bCs/>
                <w:sz w:val="24"/>
              </w:rPr>
              <w:t>4.1</w:t>
            </w:r>
            <w:r>
              <w:rPr>
                <w:rFonts w:hint="eastAsia" w:eastAsia="楷体_GB2312"/>
                <w:bCs/>
                <w:sz w:val="24"/>
              </w:rPr>
              <w:t>条情形或</w:t>
            </w:r>
            <w:r>
              <w:rPr>
                <w:rFonts w:hint="eastAsia" w:eastAsia="楷体_GB2312" w:cs="楷体_GB2312"/>
                <w:sz w:val="24"/>
              </w:rPr>
              <w:t>甲方认为需要提前终止的情形</w:t>
            </w:r>
            <w:r>
              <w:rPr>
                <w:rFonts w:hint="eastAsia" w:eastAsia="楷体_GB2312"/>
                <w:bCs/>
                <w:sz w:val="24"/>
              </w:rPr>
              <w:t>，甲方有权提前终止本交易的全部或部分（由甲方决定），甲方就此决定的终止日期为“提前终止日”；如本确认书与《主协议》、《补充协议》的约定不一致，以本确认书的约定为准。</w:t>
            </w:r>
          </w:p>
          <w:p>
            <w:pPr>
              <w:spacing w:line="360" w:lineRule="auto"/>
              <w:jc w:val="left"/>
              <w:rPr>
                <w:rFonts w:eastAsia="楷体_GB2312"/>
                <w:bCs/>
                <w:sz w:val="24"/>
              </w:rPr>
            </w:pPr>
            <w:r>
              <w:rPr>
                <w:rFonts w:hint="eastAsia" w:eastAsia="楷体_GB2312"/>
                <w:bCs/>
                <w:sz w:val="24"/>
              </w:rPr>
              <w:t>甲方拟提前全部或部分终止交易的，原则上应至少提前【</w:t>
            </w:r>
            <w:r>
              <w:rPr>
                <w:rFonts w:eastAsia="楷体_GB2312"/>
                <w:bCs/>
                <w:sz w:val="24"/>
              </w:rPr>
              <w:t>1</w:t>
            </w:r>
            <w:r>
              <w:rPr>
                <w:rFonts w:hint="eastAsia" w:eastAsia="楷体_GB2312"/>
                <w:bCs/>
                <w:sz w:val="24"/>
              </w:rPr>
              <w:t>】个交易日向乙方下达指令，指令内容应包含拟提前终止日期和拟提前终止的名义本金额。甲方将向乙方发送结算确认文件，告知乙方提前终止结算明细，计算方法参照浮动收益金额中的</w:t>
            </w:r>
            <w:r>
              <w:rPr>
                <w:rFonts w:eastAsia="楷体_GB2312"/>
                <w:bCs/>
                <w:sz w:val="24"/>
              </w:rPr>
              <w:t>2.1-2.4</w:t>
            </w:r>
            <w:r>
              <w:rPr>
                <w:rFonts w:hint="eastAsia" w:eastAsia="楷体_GB2312"/>
                <w:bCs/>
                <w:sz w:val="24"/>
              </w:rPr>
              <w:t>条款。</w:t>
            </w:r>
          </w:p>
          <w:p>
            <w:pPr>
              <w:spacing w:line="360" w:lineRule="auto"/>
              <w:jc w:val="left"/>
              <w:rPr>
                <w:rFonts w:eastAsia="楷体_GB2312"/>
                <w:bCs/>
                <w:sz w:val="24"/>
              </w:rPr>
            </w:pPr>
            <w:r>
              <w:rPr>
                <w:rFonts w:hint="eastAsia" w:eastAsia="楷体_GB2312"/>
                <w:bCs/>
                <w:sz w:val="24"/>
              </w:rPr>
              <w:t>如乙方、乙方产品管理人或该管理人管理的其他与甲方作为交易对手的产品发生违约，甲方</w:t>
            </w:r>
            <w:r>
              <w:rPr>
                <w:rFonts w:hint="eastAsia" w:ascii="楷体" w:hAnsi="楷体" w:eastAsia="楷体"/>
                <w:b/>
                <w:sz w:val="24"/>
              </w:rPr>
              <w:t>有权强制提前终止，</w:t>
            </w:r>
            <w:r>
              <w:rPr>
                <w:rFonts w:hint="eastAsia" w:ascii="Arial" w:hAnsi="Arial" w:eastAsia="楷体" w:cs="Arial"/>
                <w:bCs/>
                <w:sz w:val="24"/>
              </w:rPr>
              <w:t>由此发生的一切费用、损失由乙方承担。其</w:t>
            </w:r>
            <w:r>
              <w:rPr>
                <w:rFonts w:hint="eastAsia" w:ascii="楷体" w:hAnsi="楷体" w:eastAsia="楷体" w:cs="Arial"/>
                <w:sz w:val="24"/>
              </w:rPr>
              <w:t>中结算价格甲方根据实际对冲成本确认，相关费用及损失本着公平、公正、公允的原则进行计算。</w:t>
            </w:r>
            <w:r>
              <w:rPr>
                <w:rFonts w:hint="eastAsia" w:eastAsia="楷体_GB2312"/>
                <w:bCs/>
                <w:sz w:val="24"/>
              </w:rPr>
              <w:t>最终结算结果以计算机构发送的计算报告为准。</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353" w:type="dxa"/>
            <w:gridSpan w:val="3"/>
            <w:tcBorders>
              <w:top w:val="single" w:color="auto" w:sz="4" w:space="0"/>
              <w:bottom w:val="single" w:color="auto" w:sz="4" w:space="0"/>
            </w:tcBorders>
            <w:shd w:val="clear" w:color="auto" w:fill="C0C0C0"/>
          </w:tcPr>
          <w:p>
            <w:pPr>
              <w:pStyle w:val="3"/>
              <w:numPr>
                <w:ilvl w:val="0"/>
                <w:numId w:val="2"/>
              </w:numPr>
              <w:spacing w:before="0" w:after="0"/>
              <w:rPr>
                <w:rFonts w:ascii="Times New Roman" w:hAnsi="Times New Roman" w:eastAsia="楷体_GB2312"/>
                <w:bCs w:val="0"/>
                <w:sz w:val="24"/>
              </w:rPr>
            </w:pPr>
            <w:r>
              <w:rPr>
                <w:rFonts w:hint="eastAsia" w:ascii="Times New Roman" w:hAnsi="Times New Roman" w:eastAsia="楷体_GB2312"/>
                <w:sz w:val="28"/>
                <w:szCs w:val="28"/>
              </w:rPr>
              <w:t>声明</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353" w:type="dxa"/>
            <w:gridSpan w:val="3"/>
            <w:tcBorders>
              <w:top w:val="single" w:color="auto" w:sz="4" w:space="0"/>
              <w:bottom w:val="single" w:color="auto" w:sz="4" w:space="0"/>
            </w:tcBorders>
          </w:tcPr>
          <w:p>
            <w:pPr>
              <w:numPr>
                <w:ilvl w:val="1"/>
                <w:numId w:val="3"/>
              </w:numPr>
              <w:spacing w:line="360" w:lineRule="auto"/>
              <w:rPr>
                <w:rFonts w:eastAsia="楷体_GB2312"/>
                <w:sz w:val="24"/>
              </w:rPr>
            </w:pPr>
            <w:r>
              <w:rPr>
                <w:rFonts w:hint="eastAsia" w:eastAsia="楷体_GB2312"/>
                <w:sz w:val="24"/>
              </w:rPr>
              <w:t>乙方确认其进行本交易的目的不一定能够实现或完全实现，乙方确认办理本交易符合乙方的交易目的。同时，乙方确认，甲方已就本交易的各种风险因素（包括但不限于信用风险、市场风险、流动性风险、操作风险、法律风险等）向其进行了充分、详细的披露和解释。乙方经自主和独立判断，在向甲方下达指令开展本交易前已经完全理解本交易结构下的商业条款和各种风险，充分知悉和认可本交易可能出现亏损。乙方确认其有能力承担上述相关风险和损失。</w:t>
            </w:r>
          </w:p>
          <w:p>
            <w:pPr>
              <w:numPr>
                <w:ilvl w:val="1"/>
                <w:numId w:val="3"/>
              </w:numPr>
              <w:spacing w:line="360" w:lineRule="auto"/>
              <w:rPr>
                <w:rFonts w:eastAsia="楷体_GB2312"/>
                <w:sz w:val="24"/>
              </w:rPr>
            </w:pPr>
            <w:r>
              <w:rPr>
                <w:rFonts w:eastAsia="楷体_GB2312"/>
                <w:sz w:val="24"/>
              </w:rPr>
              <w:tab/>
            </w:r>
            <w:r>
              <w:rPr>
                <w:rFonts w:hint="eastAsia" w:eastAsia="楷体_GB2312"/>
                <w:sz w:val="24"/>
              </w:rPr>
              <w:t>甲乙双方承诺与保证</w:t>
            </w:r>
            <w:r>
              <w:rPr>
                <w:rFonts w:eastAsia="楷体_GB2312"/>
                <w:sz w:val="24"/>
              </w:rPr>
              <w:t>:</w:t>
            </w:r>
            <w:r>
              <w:rPr>
                <w:rFonts w:hint="eastAsia" w:eastAsia="楷体_GB2312"/>
                <w:sz w:val="24"/>
              </w:rPr>
              <w:t>（</w:t>
            </w:r>
            <w:r>
              <w:rPr>
                <w:rFonts w:eastAsia="楷体_GB2312"/>
                <w:sz w:val="24"/>
              </w:rPr>
              <w:t>1</w:t>
            </w:r>
            <w:r>
              <w:rPr>
                <w:rFonts w:hint="eastAsia" w:eastAsia="楷体_GB2312"/>
                <w:sz w:val="24"/>
              </w:rPr>
              <w:t>）满足进行标的证券投资的资格条件，参与场外衍生品交易业务所涉资金、资产来源合法；（</w:t>
            </w:r>
            <w:r>
              <w:rPr>
                <w:rFonts w:eastAsia="楷体_GB2312"/>
                <w:sz w:val="24"/>
              </w:rPr>
              <w:t>2</w:t>
            </w:r>
            <w:r>
              <w:rPr>
                <w:rFonts w:hint="eastAsia" w:eastAsia="楷体_GB2312"/>
                <w:sz w:val="24"/>
              </w:rPr>
              <w:t>）一方不向另一方及其附属机构及其各自之管理人员、董事、雇员以及控股方的任何其他个人或机构提供内幕信息，不通过本交易以及对冲交易（如涉及）进行内幕交易，严格遵守有关内幕交易、短线交易、关联交易、买卖股票限制、市场操纵以及信息披露等方面的法律、法规以及交易所交易规则；（</w:t>
            </w:r>
            <w:r>
              <w:rPr>
                <w:rFonts w:eastAsia="楷体_GB2312"/>
                <w:sz w:val="24"/>
              </w:rPr>
              <w:t>3</w:t>
            </w:r>
            <w:r>
              <w:rPr>
                <w:rFonts w:hint="eastAsia" w:eastAsia="楷体_GB2312"/>
                <w:sz w:val="24"/>
              </w:rPr>
              <w:t>）已按照法律、法规以及交易所交易规则就本交易取得所有适用的内外部审批及</w:t>
            </w:r>
            <w:r>
              <w:rPr>
                <w:rFonts w:eastAsia="楷体_GB2312"/>
                <w:sz w:val="24"/>
              </w:rPr>
              <w:t>/</w:t>
            </w:r>
            <w:r>
              <w:rPr>
                <w:rFonts w:hint="eastAsia" w:eastAsia="楷体_GB2312"/>
                <w:sz w:val="24"/>
              </w:rPr>
              <w:t>或授权，并履行信息披露义务（如涉及）；（</w:t>
            </w:r>
            <w:r>
              <w:rPr>
                <w:rFonts w:eastAsia="楷体_GB2312"/>
                <w:sz w:val="24"/>
              </w:rPr>
              <w:t>4</w:t>
            </w:r>
            <w:r>
              <w:rPr>
                <w:rFonts w:hint="eastAsia" w:eastAsia="楷体_GB2312"/>
                <w:sz w:val="24"/>
              </w:rPr>
              <w:t>）国家有关法律、法规、规章未禁止办理本确认书项下交易，其办理本确认书项下交易符合国家有关法律法规以及监管</w:t>
            </w:r>
            <w:r>
              <w:rPr>
                <w:rFonts w:eastAsia="楷体_GB2312"/>
                <w:sz w:val="24"/>
              </w:rPr>
              <w:t>/</w:t>
            </w:r>
            <w:r>
              <w:rPr>
                <w:rFonts w:hint="eastAsia" w:eastAsia="楷体_GB2312"/>
                <w:sz w:val="24"/>
              </w:rPr>
              <w:t>主管部门的有关规定；（</w:t>
            </w:r>
            <w:r>
              <w:rPr>
                <w:rFonts w:eastAsia="楷体_GB2312"/>
                <w:sz w:val="24"/>
              </w:rPr>
              <w:t>5</w:t>
            </w:r>
            <w:r>
              <w:rPr>
                <w:rFonts w:hint="eastAsia" w:eastAsia="楷体_GB2312"/>
                <w:sz w:val="24"/>
              </w:rPr>
              <w:t>）若因一方过错导致另一方及其员工基于提供本协议项下的服务而遭受损害或监管处罚，一方有权向另一方主张相应的直接损失及合理费用；为免疑义，前款约定不影响甲乙双方按照本确认书约定的条款和条件执行交易、进行收益结算。</w:t>
            </w:r>
          </w:p>
          <w:p>
            <w:pPr>
              <w:numPr>
                <w:ilvl w:val="1"/>
                <w:numId w:val="3"/>
              </w:numPr>
              <w:spacing w:line="360" w:lineRule="auto"/>
              <w:rPr>
                <w:rFonts w:eastAsia="楷体_GB2312"/>
                <w:sz w:val="24"/>
              </w:rPr>
            </w:pPr>
            <w:r>
              <w:rPr>
                <w:rFonts w:hint="eastAsia" w:eastAsia="楷体_GB2312"/>
                <w:sz w:val="24"/>
              </w:rPr>
              <w:t>其他</w:t>
            </w:r>
          </w:p>
          <w:p>
            <w:pPr>
              <w:spacing w:line="360" w:lineRule="auto"/>
              <w:rPr>
                <w:rFonts w:eastAsia="楷体_GB2312"/>
                <w:sz w:val="24"/>
              </w:rPr>
            </w:pPr>
            <w:r>
              <w:rPr>
                <w:rFonts w:eastAsia="楷体_GB2312"/>
                <w:sz w:val="24"/>
              </w:rPr>
              <w:t>1</w:t>
            </w:r>
            <w:r>
              <w:rPr>
                <w:rFonts w:hint="eastAsia" w:eastAsia="楷体_GB2312"/>
                <w:sz w:val="24"/>
              </w:rPr>
              <w:t>．</w:t>
            </w:r>
            <w:r>
              <w:rPr>
                <w:rFonts w:eastAsia="楷体_GB2312"/>
                <w:sz w:val="24"/>
              </w:rPr>
              <w:tab/>
            </w:r>
            <w:r>
              <w:rPr>
                <w:rFonts w:hint="eastAsia" w:eastAsia="楷体_GB2312"/>
                <w:sz w:val="24"/>
              </w:rPr>
              <w:t>双方确认，签署本确认书的相关人员均具有合法有效授权。乙方确认，经“乙方指定授权人员、指令下达及接收途径”下发出的指令均视为由乙方授权代表下达的有效指令。</w:t>
            </w:r>
          </w:p>
          <w:p>
            <w:pPr>
              <w:spacing w:line="360" w:lineRule="auto"/>
              <w:rPr>
                <w:rFonts w:eastAsia="楷体_GB2312"/>
                <w:sz w:val="24"/>
              </w:rPr>
            </w:pPr>
            <w:r>
              <w:rPr>
                <w:rFonts w:eastAsia="楷体_GB2312"/>
                <w:sz w:val="24"/>
              </w:rPr>
              <w:t>2</w:t>
            </w:r>
            <w:r>
              <w:rPr>
                <w:rFonts w:hint="eastAsia" w:eastAsia="楷体_GB2312"/>
                <w:sz w:val="24"/>
              </w:rPr>
              <w:t>．</w:t>
            </w:r>
            <w:r>
              <w:rPr>
                <w:rFonts w:eastAsia="楷体_GB2312"/>
                <w:sz w:val="24"/>
              </w:rPr>
              <w:tab/>
            </w:r>
            <w:r>
              <w:rPr>
                <w:rFonts w:hint="eastAsia" w:eastAsia="楷体_GB2312"/>
                <w:sz w:val="24"/>
              </w:rPr>
              <w:t>本确认书经甲乙双方法定代表人或授权代表签字或签章，并加盖公司公章或合同专用章后生效。</w:t>
            </w:r>
          </w:p>
          <w:p>
            <w:pPr>
              <w:spacing w:line="360" w:lineRule="auto"/>
              <w:rPr>
                <w:rFonts w:eastAsia="楷体_GB2312"/>
                <w:sz w:val="24"/>
              </w:rPr>
            </w:pPr>
            <w:r>
              <w:rPr>
                <w:rFonts w:eastAsia="楷体_GB2312"/>
                <w:sz w:val="24"/>
              </w:rPr>
              <w:t>3</w:t>
            </w:r>
            <w:r>
              <w:rPr>
                <w:rFonts w:hint="eastAsia" w:eastAsia="楷体_GB2312"/>
                <w:sz w:val="24"/>
              </w:rPr>
              <w:t>．</w:t>
            </w:r>
            <w:r>
              <w:rPr>
                <w:rFonts w:eastAsia="楷体_GB2312"/>
                <w:sz w:val="24"/>
              </w:rPr>
              <w:tab/>
            </w:r>
            <w:r>
              <w:rPr>
                <w:rFonts w:hint="eastAsia" w:eastAsia="楷体_GB2312"/>
                <w:sz w:val="24"/>
              </w:rPr>
              <w:t>本确认书构成甲方和乙方就本交易达成的具有约束力的协议。本协议取代在本协议日期及之前就本交易而发送的任何其他交易承认或确认（如有），包括但不限于所有其他的书面确认、电话及口头确认。</w:t>
            </w:r>
          </w:p>
          <w:p>
            <w:pPr>
              <w:widowControl/>
              <w:jc w:val="left"/>
              <w:rPr>
                <w:rFonts w:eastAsia="楷体_GB2312"/>
                <w:sz w:val="24"/>
              </w:rPr>
            </w:pPr>
            <w:r>
              <w:rPr>
                <w:rFonts w:eastAsia="楷体_GB2312"/>
                <w:kern w:val="0"/>
                <w:sz w:val="24"/>
              </w:rPr>
              <w:t>4</w:t>
            </w:r>
            <w:r>
              <w:rPr>
                <w:rFonts w:hint="eastAsia" w:eastAsia="楷体_GB2312"/>
                <w:kern w:val="0"/>
                <w:sz w:val="24"/>
              </w:rPr>
              <w:t>．</w:t>
            </w:r>
            <w:r>
              <w:rPr>
                <w:rFonts w:eastAsia="楷体_GB2312"/>
                <w:kern w:val="0"/>
                <w:sz w:val="24"/>
              </w:rPr>
              <w:tab/>
            </w:r>
            <w:r>
              <w:rPr>
                <w:rFonts w:hint="eastAsia" w:eastAsia="楷体_GB2312"/>
                <w:kern w:val="0"/>
                <w:sz w:val="24"/>
              </w:rPr>
              <w:t>本确认书一式肆份，双方各执贰份，每份具有同等法律效力。</w:t>
            </w:r>
          </w:p>
        </w:tc>
      </w:tr>
    </w:tbl>
    <w:p>
      <w:pPr>
        <w:pStyle w:val="3"/>
        <w:rPr>
          <w:rFonts w:eastAsia="楷体_GB2312"/>
          <w:kern w:val="0"/>
          <w:sz w:val="24"/>
        </w:rPr>
      </w:pPr>
      <w:bookmarkStart w:id="10" w:name="_MON_1416987714"/>
      <w:bookmarkEnd w:id="10"/>
      <w:r>
        <w:rPr>
          <w:rFonts w:ascii="楷体_GB2312" w:eastAsia="楷体_GB2312"/>
          <w:sz w:val="24"/>
          <w:szCs w:val="24"/>
        </w:rPr>
        <w:br w:type="page"/>
      </w:r>
      <w:r>
        <w:rPr>
          <w:rFonts w:eastAsia="楷体_GB2312"/>
          <w:kern w:val="0"/>
          <w:sz w:val="24"/>
        </w:rPr>
        <w:t xml:space="preserve"> </w:t>
      </w:r>
      <w:r>
        <w:rPr>
          <w:rFonts w:hint="eastAsia" w:ascii="楷体_GB2312" w:eastAsia="楷体_GB2312"/>
          <w:sz w:val="24"/>
          <w:szCs w:val="24"/>
        </w:rPr>
        <w:t>附录一：业务要素及确认</w:t>
      </w:r>
    </w:p>
    <w:p>
      <w:pPr>
        <w:jc w:val="center"/>
        <w:rPr>
          <w:rFonts w:eastAsia="楷体_GB2312"/>
          <w:b/>
          <w:bCs/>
          <w:sz w:val="28"/>
          <w:szCs w:val="28"/>
        </w:rPr>
      </w:pPr>
      <w:bookmarkStart w:id="11" w:name="_Hlk481743269"/>
      <w:r>
        <w:rPr>
          <w:rFonts w:hint="eastAsia" w:eastAsia="楷体_GB2312"/>
          <w:b/>
          <w:bCs/>
          <w:sz w:val="28"/>
          <w:szCs w:val="28"/>
        </w:rPr>
        <w:t>业务要素及确认</w:t>
      </w:r>
    </w:p>
    <w:tbl>
      <w:tblPr>
        <w:tblStyle w:val="17"/>
        <w:tblW w:w="86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410"/>
        <w:gridCol w:w="1984"/>
        <w:gridCol w:w="19"/>
        <w:gridCol w:w="2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601" w:type="dxa"/>
            <w:gridSpan w:val="5"/>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
                <w:bCs/>
                <w:sz w:val="24"/>
              </w:rPr>
            </w:pPr>
            <w:r>
              <w:rPr>
                <w:rFonts w:hint="eastAsia" w:eastAsia="楷体_GB2312"/>
                <w:b/>
                <w:bCs/>
                <w:sz w:val="24"/>
              </w:rPr>
              <w:t>一、基本要素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980"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交易达成日</w:t>
            </w:r>
          </w:p>
        </w:tc>
        <w:tc>
          <w:tcPr>
            <w:tcW w:w="2410"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{{交易日}}</w:t>
            </w:r>
          </w:p>
        </w:tc>
        <w:tc>
          <w:tcPr>
            <w:tcW w:w="1984"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期初观察日</w:t>
            </w:r>
          </w:p>
        </w:tc>
        <w:tc>
          <w:tcPr>
            <w:tcW w:w="2227" w:type="dxa"/>
            <w:gridSpan w:val="2"/>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{{开始日}}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980"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期末观察日</w:t>
            </w:r>
          </w:p>
        </w:tc>
        <w:tc>
          <w:tcPr>
            <w:tcW w:w="2410"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{{行权日}}</w:t>
            </w:r>
          </w:p>
        </w:tc>
        <w:tc>
          <w:tcPr>
            <w:tcW w:w="1984"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标的证券</w:t>
            </w:r>
          </w:p>
        </w:tc>
        <w:tc>
          <w:tcPr>
            <w:tcW w:w="2227" w:type="dxa"/>
            <w:gridSpan w:val="2"/>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{{标的名称}}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980"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到期日</w:t>
            </w:r>
          </w:p>
        </w:tc>
        <w:tc>
          <w:tcPr>
            <w:tcW w:w="6621" w:type="dxa"/>
            <w:gridSpan w:val="4"/>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{{行权日}}，如该日为非交易日，则到期日应自动推迟至该日后的第一个交易日。本确认书提前终止的，到期日为提前终止日（包含部分提前终止日和全部提前终止日）之后的</w:t>
            </w:r>
            <w:r>
              <w:rPr>
                <w:rFonts w:eastAsia="楷体_GB2312"/>
                <w:bCs/>
                <w:sz w:val="24"/>
              </w:rPr>
              <w:t>【2】</w:t>
            </w:r>
            <w:r>
              <w:rPr>
                <w:rFonts w:hint="eastAsia" w:eastAsia="楷体_GB2312"/>
                <w:bCs/>
                <w:sz w:val="24"/>
              </w:rPr>
              <w:t>个交易日内。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980"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ascii="楷体" w:hAnsi="楷体" w:eastAsia="楷体"/>
                <w:bCs/>
                <w:sz w:val="24"/>
              </w:rPr>
            </w:pPr>
            <w:r>
              <w:rPr>
                <w:rFonts w:hint="eastAsia" w:ascii="楷体" w:hAnsi="楷体" w:eastAsia="楷体"/>
                <w:bCs/>
                <w:sz w:val="24"/>
              </w:rPr>
              <w:t>标的证券代码</w:t>
            </w:r>
          </w:p>
        </w:tc>
        <w:tc>
          <w:tcPr>
            <w:tcW w:w="2410"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{{标的代码}}</w:t>
            </w:r>
          </w:p>
        </w:tc>
        <w:tc>
          <w:tcPr>
            <w:tcW w:w="1984"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标的证券交易所</w:t>
            </w:r>
            <w:r>
              <w:rPr>
                <w:rFonts w:eastAsia="楷体_GB2312"/>
                <w:bCs/>
                <w:sz w:val="24"/>
              </w:rPr>
              <w:t>/</w:t>
            </w:r>
            <w:r>
              <w:rPr>
                <w:rFonts w:hint="eastAsia" w:eastAsia="楷体_GB2312"/>
                <w:bCs/>
                <w:sz w:val="24"/>
              </w:rPr>
              <w:t>指数发起人</w:t>
            </w:r>
          </w:p>
        </w:tc>
        <w:tc>
          <w:tcPr>
            <w:tcW w:w="2227" w:type="dxa"/>
            <w:gridSpan w:val="2"/>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{{交易市场}}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980"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ascii="楷体" w:hAnsi="楷体" w:eastAsia="楷体"/>
                <w:bCs/>
                <w:sz w:val="24"/>
              </w:rPr>
            </w:pPr>
            <w:r>
              <w:rPr>
                <w:rFonts w:hint="eastAsia" w:ascii="楷体" w:hAnsi="楷体" w:eastAsia="楷体"/>
                <w:bCs/>
                <w:sz w:val="24"/>
              </w:rPr>
              <w:t>名义本金额</w:t>
            </w:r>
          </w:p>
        </w:tc>
        <w:tc>
          <w:tcPr>
            <w:tcW w:w="2410" w:type="dxa"/>
            <w:tcBorders>
              <w:top w:val="single" w:color="auto" w:sz="4" w:space="0"/>
              <w:left w:val="single" w:color="auto" w:sz="4" w:space="0"/>
              <w:right w:val="single" w:color="auto" w:sz="4" w:space="0"/>
            </w:tcBorders>
            <w:shd w:val="clear" w:color="auto" w:fill="auto"/>
            <w:vAlign w:val="center"/>
          </w:tcPr>
          <w:p>
            <w:pPr>
              <w:spacing w:before="100" w:beforeAutospacing="1" w:after="100" w:afterAutospacing="1"/>
              <w:jc w:val="left"/>
              <w:rPr>
                <w:rFonts w:eastAsia="楷体_GB2312"/>
                <w:bCs/>
                <w:sz w:val="24"/>
              </w:rPr>
            </w:pPr>
            <w:r>
              <w:rPr>
                <w:rFonts w:hint="eastAsia" w:eastAsia="楷体_GB2312"/>
                <w:bCs/>
                <w:sz w:val="24"/>
                <w:lang w:val="en-US" w:eastAsia="zh-CN"/>
              </w:rPr>
              <w:t>{{名义本金千分位}}元</w:t>
            </w:r>
            <w:r>
              <w:rPr>
                <w:rFonts w:hint="eastAsia" w:eastAsia="楷体_GB2312"/>
                <w:bCs/>
                <w:sz w:val="24"/>
              </w:rPr>
              <w:t>人民币</w:t>
            </w:r>
          </w:p>
        </w:tc>
        <w:tc>
          <w:tcPr>
            <w:tcW w:w="1984"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p>
        </w:tc>
        <w:tc>
          <w:tcPr>
            <w:tcW w:w="2227" w:type="dxa"/>
            <w:gridSpan w:val="2"/>
            <w:tcBorders>
              <w:top w:val="single" w:color="auto" w:sz="4" w:space="0"/>
              <w:left w:val="single" w:color="auto" w:sz="4" w:space="0"/>
              <w:right w:val="single" w:color="auto" w:sz="4" w:space="0"/>
            </w:tcBorders>
            <w:shd w:val="clear" w:color="auto" w:fill="auto"/>
            <w:vAlign w:val="center"/>
          </w:tcPr>
          <w:p>
            <w:pPr>
              <w:spacing w:before="100" w:beforeAutospacing="1" w:after="100" w:afterAutospacing="1"/>
              <w:jc w:val="left"/>
              <w:rPr>
                <w:rFonts w:eastAsia="楷体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980"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ascii="楷体" w:hAnsi="楷体" w:eastAsia="楷体"/>
                <w:bCs/>
                <w:sz w:val="24"/>
              </w:rPr>
            </w:pPr>
            <w:r>
              <w:rPr>
                <w:rFonts w:hint="eastAsia" w:ascii="楷体" w:hAnsi="楷体" w:eastAsia="楷体"/>
                <w:bCs/>
                <w:sz w:val="24"/>
              </w:rPr>
              <w:t>期初价格</w:t>
            </w:r>
          </w:p>
        </w:tc>
        <w:tc>
          <w:tcPr>
            <w:tcW w:w="2410"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eastAsia="楷体_GB2312"/>
                <w:bCs/>
                <w:sz w:val="24"/>
              </w:rPr>
              <w:t>起始日当日的标的收盘价（点)</w:t>
            </w:r>
          </w:p>
        </w:tc>
        <w:tc>
          <w:tcPr>
            <w:tcW w:w="1984"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p>
        </w:tc>
        <w:tc>
          <w:tcPr>
            <w:tcW w:w="2227" w:type="dxa"/>
            <w:gridSpan w:val="2"/>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980"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ascii="楷体" w:hAnsi="楷体" w:eastAsia="楷体"/>
                <w:bCs/>
                <w:sz w:val="24"/>
              </w:rPr>
            </w:pPr>
            <w:r>
              <w:rPr>
                <w:rFonts w:hint="eastAsia" w:ascii="楷体" w:hAnsi="楷体" w:eastAsia="楷体"/>
                <w:bCs/>
                <w:sz w:val="24"/>
              </w:rPr>
              <w:t>期初价格保留位数</w:t>
            </w:r>
          </w:p>
        </w:tc>
        <w:tc>
          <w:tcPr>
            <w:tcW w:w="2410"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【四舍五入】精确到小数点后第【二】位</w:t>
            </w:r>
          </w:p>
        </w:tc>
        <w:tc>
          <w:tcPr>
            <w:tcW w:w="1984"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期末价格保留位数</w:t>
            </w:r>
          </w:p>
        </w:tc>
        <w:tc>
          <w:tcPr>
            <w:tcW w:w="2227" w:type="dxa"/>
            <w:gridSpan w:val="2"/>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【四舍五入】精确到小数点后第【二】位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980"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ascii="楷体" w:hAnsi="楷体" w:eastAsia="楷体"/>
                <w:bCs/>
                <w:sz w:val="24"/>
              </w:rPr>
            </w:pPr>
            <w:r>
              <w:rPr>
                <w:rFonts w:hint="eastAsia" w:ascii="楷体" w:hAnsi="楷体" w:eastAsia="楷体"/>
                <w:bCs/>
                <w:sz w:val="24"/>
              </w:rPr>
              <w:t>增强收益率（年化）</w:t>
            </w:r>
          </w:p>
        </w:tc>
        <w:tc>
          <w:tcPr>
            <w:tcW w:w="2410"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hint="eastAsia" w:eastAsia="楷体_GB2312"/>
                <w:bCs/>
                <w:sz w:val="24"/>
                <w:lang w:val="en-US" w:eastAsia="zh-CN"/>
              </w:rPr>
            </w:pPr>
            <w:r>
              <w:rPr>
                <w:rFonts w:hint="eastAsia" w:eastAsia="楷体_GB2312"/>
                <w:bCs/>
                <w:sz w:val="24"/>
              </w:rPr>
              <w:t>{{增强收益率}}</w:t>
            </w:r>
          </w:p>
        </w:tc>
        <w:tc>
          <w:tcPr>
            <w:tcW w:w="1984"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固定收益率</w:t>
            </w:r>
          </w:p>
        </w:tc>
        <w:tc>
          <w:tcPr>
            <w:tcW w:w="2227" w:type="dxa"/>
            <w:gridSpan w:val="2"/>
            <w:tcBorders>
              <w:top w:val="single" w:color="auto" w:sz="4" w:space="0"/>
              <w:left w:val="single" w:color="auto" w:sz="4" w:space="0"/>
              <w:right w:val="single" w:color="auto" w:sz="4" w:space="0"/>
            </w:tcBorders>
            <w:vAlign w:val="center"/>
          </w:tcPr>
          <w:p>
            <w:pPr>
              <w:spacing w:before="100" w:beforeAutospacing="1" w:after="100" w:afterAutospacing="1"/>
              <w:jc w:val="left"/>
              <w:rPr>
                <w:rFonts w:hint="eastAsia" w:eastAsia="楷体_GB2312"/>
                <w:bCs/>
                <w:sz w:val="24"/>
                <w:lang w:val="en-US" w:eastAsia="zh-CN"/>
              </w:rPr>
            </w:pPr>
            <w:r>
              <w:rPr>
                <w:rFonts w:hint="eastAsia" w:eastAsia="楷体_GB2312"/>
                <w:bCs/>
                <w:sz w:val="24"/>
              </w:rPr>
              <w:t>{{固定收益率}}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601" w:type="dxa"/>
            <w:gridSpan w:val="5"/>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二、甲方指定的指令下达及接收途径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ascii="楷体" w:hAnsi="楷体" w:eastAsia="楷体"/>
                <w:bCs/>
                <w:sz w:val="24"/>
              </w:rPr>
            </w:pPr>
            <w:r>
              <w:rPr>
                <w:rFonts w:hint="eastAsia" w:ascii="楷体" w:hAnsi="楷体" w:eastAsia="楷体"/>
                <w:bCs/>
                <w:sz w:val="24"/>
              </w:rPr>
              <w:t>甲方录音电话</w:t>
            </w:r>
          </w:p>
        </w:tc>
        <w:tc>
          <w:tcPr>
            <w:tcW w:w="241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{{甲方电话}}</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甲方传真</w:t>
            </w:r>
          </w:p>
        </w:tc>
        <w:tc>
          <w:tcPr>
            <w:tcW w:w="2227" w:type="dxa"/>
            <w:gridSpan w:val="2"/>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{{甲方传真}}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ascii="楷体" w:hAnsi="楷体" w:eastAsia="楷体"/>
                <w:bCs/>
                <w:sz w:val="24"/>
              </w:rPr>
            </w:pPr>
            <w:r>
              <w:rPr>
                <w:rFonts w:hint="eastAsia" w:ascii="楷体" w:hAnsi="楷体" w:eastAsia="楷体"/>
                <w:bCs/>
                <w:sz w:val="24"/>
              </w:rPr>
              <w:t>甲方电子邮件</w:t>
            </w:r>
          </w:p>
        </w:tc>
        <w:tc>
          <w:tcPr>
            <w:tcW w:w="6621" w:type="dxa"/>
            <w:gridSpan w:val="4"/>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{{甲方邮件}}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8601" w:type="dxa"/>
            <w:gridSpan w:val="5"/>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三、乙方指定的指令下达及接收途径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乙方录音电话</w:t>
            </w:r>
          </w:p>
        </w:tc>
        <w:tc>
          <w:tcPr>
            <w:tcW w:w="241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{{乙方电话}}</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乙方传真</w:t>
            </w:r>
          </w:p>
        </w:tc>
        <w:tc>
          <w:tcPr>
            <w:tcW w:w="2227" w:type="dxa"/>
            <w:gridSpan w:val="2"/>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{{乙方传真}}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980" w:type="dxa"/>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乙方电子邮件</w:t>
            </w:r>
          </w:p>
        </w:tc>
        <w:tc>
          <w:tcPr>
            <w:tcW w:w="6621" w:type="dxa"/>
            <w:gridSpan w:val="4"/>
            <w:tcBorders>
              <w:top w:val="single" w:color="auto" w:sz="4" w:space="0"/>
              <w:left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{{乙方邮件}}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8601" w:type="dxa"/>
            <w:gridSpan w:val="5"/>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四、双方指定的资金交收账户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甲方银行账户户名</w:t>
            </w:r>
          </w:p>
        </w:tc>
        <w:tc>
          <w:tcPr>
            <w:tcW w:w="241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{{甲方户名}}</w:t>
            </w:r>
          </w:p>
        </w:tc>
        <w:tc>
          <w:tcPr>
            <w:tcW w:w="2003" w:type="dxa"/>
            <w:gridSpan w:val="2"/>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乙方银行账户户名</w:t>
            </w:r>
          </w:p>
        </w:tc>
        <w:tc>
          <w:tcPr>
            <w:tcW w:w="2208"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{{乙方户名}}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甲方银行账户账号</w:t>
            </w:r>
          </w:p>
        </w:tc>
        <w:tc>
          <w:tcPr>
            <w:tcW w:w="241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{{甲方账号}}</w:t>
            </w:r>
          </w:p>
        </w:tc>
        <w:tc>
          <w:tcPr>
            <w:tcW w:w="2003" w:type="dxa"/>
            <w:gridSpan w:val="2"/>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乙方银行账户账号</w:t>
            </w:r>
          </w:p>
        </w:tc>
        <w:tc>
          <w:tcPr>
            <w:tcW w:w="2208"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{{乙方账号}}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甲方银行账户开户行</w:t>
            </w:r>
          </w:p>
        </w:tc>
        <w:tc>
          <w:tcPr>
            <w:tcW w:w="241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{{甲方开户行}}</w:t>
            </w:r>
          </w:p>
        </w:tc>
        <w:tc>
          <w:tcPr>
            <w:tcW w:w="2003" w:type="dxa"/>
            <w:gridSpan w:val="2"/>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乙方银行账户开户行</w:t>
            </w:r>
          </w:p>
        </w:tc>
        <w:tc>
          <w:tcPr>
            <w:tcW w:w="2208"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{{乙方开户行}}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甲方支付系统号</w:t>
            </w:r>
          </w:p>
        </w:tc>
        <w:tc>
          <w:tcPr>
            <w:tcW w:w="241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{{甲方大额行号}}</w:t>
            </w:r>
          </w:p>
        </w:tc>
        <w:tc>
          <w:tcPr>
            <w:tcW w:w="2003" w:type="dxa"/>
            <w:gridSpan w:val="2"/>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乙方支付系统号</w:t>
            </w:r>
          </w:p>
        </w:tc>
        <w:tc>
          <w:tcPr>
            <w:tcW w:w="2208"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left"/>
              <w:rPr>
                <w:rFonts w:eastAsia="楷体_GB2312"/>
                <w:bCs/>
                <w:sz w:val="24"/>
              </w:rPr>
            </w:pPr>
            <w:r>
              <w:rPr>
                <w:rFonts w:hint="eastAsia" w:eastAsia="楷体_GB2312"/>
                <w:bCs/>
                <w:sz w:val="24"/>
              </w:rPr>
              <w:t>{{乙方大额行号}}</w:t>
            </w:r>
          </w:p>
        </w:tc>
      </w:tr>
      <w:bookmarkEnd w:id="11"/>
    </w:tbl>
    <w:p>
      <w:pPr>
        <w:widowControl/>
        <w:spacing w:after="160" w:line="259" w:lineRule="auto"/>
        <w:jc w:val="left"/>
        <w:rPr>
          <w:rFonts w:eastAsia="楷体_GB2312"/>
          <w:b/>
          <w:bCs/>
          <w:kern w:val="44"/>
          <w:sz w:val="24"/>
        </w:rPr>
      </w:pPr>
      <w:r>
        <w:rPr>
          <w:rFonts w:eastAsia="楷体_GB2312"/>
          <w:sz w:val="24"/>
        </w:rPr>
        <w:br w:type="page"/>
      </w:r>
    </w:p>
    <w:p>
      <w:pPr>
        <w:pStyle w:val="2"/>
        <w:rPr>
          <w:color w:val="FFFFFF"/>
        </w:rPr>
      </w:pPr>
      <w:r>
        <w:rPr>
          <w:rFonts w:hint="eastAsia" w:eastAsia="楷体_GB2312"/>
          <w:sz w:val="24"/>
          <w:szCs w:val="24"/>
        </w:rPr>
        <w:t>此页无正文，为《</w:t>
      </w:r>
      <w:r>
        <w:rPr>
          <w:rFonts w:hint="eastAsia" w:eastAsia="楷体_GB2312"/>
          <w:sz w:val="24"/>
        </w:rPr>
        <w:t>金融衍生品交易确认书</w:t>
      </w:r>
      <w:r>
        <w:rPr>
          <w:rFonts w:hint="eastAsia" w:eastAsia="楷体_GB2312"/>
          <w:sz w:val="24"/>
          <w:szCs w:val="24"/>
        </w:rPr>
        <w:t>》签署页。</w:t>
      </w:r>
    </w:p>
    <w:p>
      <w:pPr>
        <w:ind w:firstLine="424" w:firstLineChars="177"/>
        <w:rPr>
          <w:rFonts w:eastAsia="楷体_GB2312"/>
          <w:sz w:val="24"/>
        </w:rPr>
      </w:pPr>
    </w:p>
    <w:p>
      <w:pPr>
        <w:ind w:firstLine="424" w:firstLineChars="177"/>
        <w:rPr>
          <w:rFonts w:eastAsia="楷体_GB2312"/>
          <w:sz w:val="24"/>
        </w:rPr>
      </w:pPr>
    </w:p>
    <w:p>
      <w:pPr>
        <w:spacing w:line="360" w:lineRule="auto"/>
        <w:rPr>
          <w:rFonts w:eastAsia="楷体_GB2312"/>
          <w:b/>
          <w:sz w:val="24"/>
        </w:rPr>
      </w:pPr>
      <w:r>
        <w:rPr>
          <w:rFonts w:hint="eastAsia" w:eastAsia="楷体_GB2312"/>
          <w:b/>
          <w:sz w:val="24"/>
        </w:rPr>
        <w:t>甲方法定代表人或授权代表（签字或签章）：</w:t>
      </w:r>
    </w:p>
    <w:p>
      <w:pPr>
        <w:spacing w:line="360" w:lineRule="auto"/>
        <w:rPr>
          <w:rFonts w:ascii="楷体" w:hAnsi="楷体" w:eastAsia="楷体"/>
          <w:b/>
          <w:sz w:val="24"/>
        </w:rPr>
      </w:pPr>
    </w:p>
    <w:p>
      <w:pPr>
        <w:spacing w:line="360" w:lineRule="auto"/>
        <w:rPr>
          <w:rFonts w:ascii="楷体" w:hAnsi="楷体" w:eastAsia="楷体"/>
          <w:b/>
          <w:sz w:val="24"/>
        </w:rPr>
      </w:pPr>
      <w:r>
        <w:rPr>
          <w:rFonts w:hint="eastAsia" w:ascii="楷体" w:hAnsi="楷体" w:eastAsia="楷体"/>
          <w:b/>
          <w:sz w:val="24"/>
        </w:rPr>
        <w:t>甲方公章或合同专用章：</w:t>
      </w:r>
      <w:r>
        <w:rPr>
          <w:rFonts w:ascii="楷体" w:hAnsi="楷体" w:eastAsia="楷体"/>
          <w:b/>
          <w:sz w:val="24"/>
        </w:rPr>
        <w:t xml:space="preserve"> </w:t>
      </w:r>
    </w:p>
    <w:p>
      <w:pPr>
        <w:spacing w:line="360" w:lineRule="auto"/>
        <w:rPr>
          <w:rFonts w:ascii="楷体" w:hAnsi="楷体" w:eastAsia="楷体"/>
          <w:sz w:val="24"/>
        </w:rPr>
      </w:pPr>
    </w:p>
    <w:p>
      <w:pPr>
        <w:spacing w:line="360" w:lineRule="auto"/>
        <w:rPr>
          <w:rFonts w:ascii="楷体" w:hAnsi="楷体" w:eastAsia="楷体"/>
          <w:sz w:val="24"/>
        </w:rPr>
      </w:pPr>
      <w:r>
        <w:rPr>
          <w:rFonts w:hint="eastAsia" w:ascii="楷体" w:hAnsi="楷体" w:eastAsia="楷体"/>
          <w:sz w:val="24"/>
        </w:rPr>
        <w:t>甲方确认已对本确认书进行了及时、认真的检查，并确认本确认书的上述内容正确地反映了甲乙双方就本交易所达成的条款和条件。</w:t>
      </w:r>
    </w:p>
    <w:p>
      <w:pPr>
        <w:spacing w:line="360" w:lineRule="auto"/>
        <w:rPr>
          <w:rFonts w:ascii="楷体" w:hAnsi="楷体" w:eastAsia="楷体"/>
          <w:sz w:val="24"/>
        </w:rPr>
      </w:pPr>
    </w:p>
    <w:p>
      <w:pPr>
        <w:spacing w:line="360" w:lineRule="auto"/>
        <w:rPr>
          <w:rFonts w:ascii="楷体" w:hAnsi="楷体" w:eastAsia="楷体"/>
          <w:sz w:val="24"/>
        </w:rPr>
      </w:pPr>
      <w:r>
        <w:rPr>
          <w:rFonts w:hint="eastAsia" w:ascii="楷体" w:hAnsi="楷体" w:eastAsia="楷体"/>
          <w:sz w:val="24"/>
        </w:rPr>
        <w:t>签署日期：</w:t>
      </w:r>
      <w:r>
        <w:rPr>
          <w:rFonts w:ascii="楷体" w:hAnsi="楷体" w:eastAsia="楷体"/>
          <w:sz w:val="24"/>
        </w:rPr>
        <w:t xml:space="preserve"> </w:t>
      </w:r>
      <w:bookmarkStart w:id="12" w:name="_Hlk53135377"/>
      <w:r>
        <w:rPr>
          <w:rFonts w:hint="eastAsia" w:ascii="楷体" w:hAnsi="楷体" w:eastAsia="楷体"/>
          <w:sz w:val="24"/>
          <w:lang w:val="en-US" w:eastAsia="zh-CN"/>
        </w:rPr>
        <w:t xml:space="preserve">    </w:t>
      </w:r>
      <w:r>
        <w:rPr>
          <w:rFonts w:ascii="楷体" w:hAnsi="楷体" w:eastAsia="楷体"/>
          <w:sz w:val="24"/>
        </w:rPr>
        <w:t>年</w:t>
      </w:r>
      <w:r>
        <w:rPr>
          <w:rFonts w:hint="eastAsia" w:ascii="楷体" w:hAnsi="楷体" w:eastAsia="楷体"/>
          <w:sz w:val="24"/>
          <w:lang w:val="en-US" w:eastAsia="zh-CN"/>
        </w:rPr>
        <w:t xml:space="preserve">  </w:t>
      </w:r>
      <w:r>
        <w:rPr>
          <w:rFonts w:ascii="楷体" w:hAnsi="楷体" w:eastAsia="楷体"/>
          <w:sz w:val="24"/>
        </w:rPr>
        <w:t>月</w:t>
      </w:r>
      <w:r>
        <w:rPr>
          <w:rFonts w:hint="eastAsia" w:ascii="楷体" w:hAnsi="楷体" w:eastAsia="楷体"/>
          <w:sz w:val="24"/>
          <w:lang w:val="en-US" w:eastAsia="zh-CN"/>
        </w:rPr>
        <w:t xml:space="preserve">  </w:t>
      </w:r>
      <w:r>
        <w:rPr>
          <w:rFonts w:ascii="楷体" w:hAnsi="楷体" w:eastAsia="楷体"/>
          <w:sz w:val="24"/>
        </w:rPr>
        <w:t>日</w:t>
      </w:r>
      <w:bookmarkEnd w:id="12"/>
    </w:p>
    <w:p>
      <w:pPr>
        <w:spacing w:line="360" w:lineRule="auto"/>
        <w:rPr>
          <w:rFonts w:ascii="楷体" w:hAnsi="楷体" w:eastAsia="楷体"/>
          <w:sz w:val="24"/>
        </w:rPr>
      </w:pPr>
    </w:p>
    <w:p>
      <w:pPr>
        <w:spacing w:line="360" w:lineRule="auto"/>
        <w:rPr>
          <w:rFonts w:ascii="楷体" w:hAnsi="楷体" w:eastAsia="楷体"/>
          <w:sz w:val="24"/>
        </w:rPr>
      </w:pPr>
    </w:p>
    <w:p>
      <w:pPr>
        <w:spacing w:line="360" w:lineRule="auto"/>
        <w:rPr>
          <w:rFonts w:ascii="楷体" w:hAnsi="楷体" w:eastAsia="楷体"/>
          <w:b/>
          <w:sz w:val="24"/>
        </w:rPr>
      </w:pPr>
    </w:p>
    <w:p>
      <w:pPr>
        <w:spacing w:line="360" w:lineRule="auto"/>
        <w:rPr>
          <w:rFonts w:ascii="楷体" w:hAnsi="楷体" w:eastAsia="楷体"/>
          <w:b/>
          <w:sz w:val="24"/>
        </w:rPr>
      </w:pPr>
    </w:p>
    <w:p>
      <w:pPr>
        <w:spacing w:line="360" w:lineRule="auto"/>
        <w:rPr>
          <w:rFonts w:ascii="楷体" w:hAnsi="楷体" w:eastAsia="楷体"/>
          <w:b/>
          <w:sz w:val="24"/>
        </w:rPr>
      </w:pPr>
      <w:r>
        <w:rPr>
          <w:rFonts w:hint="eastAsia" w:ascii="楷体" w:hAnsi="楷体" w:eastAsia="楷体"/>
          <w:b/>
          <w:sz w:val="24"/>
        </w:rPr>
        <w:t>乙方法定代表人</w:t>
      </w:r>
      <w:r>
        <w:rPr>
          <w:rFonts w:ascii="楷体" w:hAnsi="楷体" w:eastAsia="楷体"/>
          <w:b/>
          <w:sz w:val="24"/>
        </w:rPr>
        <w:t>/</w:t>
      </w:r>
      <w:r>
        <w:rPr>
          <w:rFonts w:hint="eastAsia" w:ascii="楷体" w:hAnsi="楷体" w:eastAsia="楷体"/>
          <w:b/>
          <w:sz w:val="24"/>
        </w:rPr>
        <w:t>执行事务合伙人委派代表（签字或签章）：</w:t>
      </w:r>
    </w:p>
    <w:p>
      <w:pPr>
        <w:spacing w:line="360" w:lineRule="auto"/>
        <w:rPr>
          <w:rFonts w:ascii="楷体" w:hAnsi="楷体" w:eastAsia="楷体"/>
          <w:b/>
          <w:sz w:val="24"/>
        </w:rPr>
      </w:pPr>
    </w:p>
    <w:p>
      <w:pPr>
        <w:spacing w:line="360" w:lineRule="auto"/>
        <w:rPr>
          <w:rFonts w:ascii="楷体" w:hAnsi="楷体" w:eastAsia="楷体"/>
          <w:b/>
          <w:sz w:val="24"/>
        </w:rPr>
      </w:pPr>
      <w:r>
        <w:rPr>
          <w:rFonts w:hint="eastAsia" w:ascii="楷体" w:hAnsi="楷体" w:eastAsia="楷体"/>
          <w:b/>
          <w:sz w:val="24"/>
        </w:rPr>
        <w:t>乙方公章或合同专用章：</w:t>
      </w:r>
    </w:p>
    <w:p>
      <w:pPr>
        <w:spacing w:line="360" w:lineRule="auto"/>
        <w:rPr>
          <w:rFonts w:ascii="楷体" w:hAnsi="楷体" w:eastAsia="楷体"/>
          <w:b/>
          <w:sz w:val="24"/>
        </w:rPr>
      </w:pPr>
    </w:p>
    <w:p>
      <w:pPr>
        <w:spacing w:line="360" w:lineRule="auto"/>
        <w:rPr>
          <w:rFonts w:ascii="楷体" w:hAnsi="楷体" w:eastAsia="楷体"/>
          <w:sz w:val="24"/>
        </w:rPr>
      </w:pPr>
      <w:r>
        <w:rPr>
          <w:rFonts w:hint="eastAsia" w:ascii="楷体" w:hAnsi="楷体" w:eastAsia="楷体"/>
          <w:sz w:val="24"/>
        </w:rPr>
        <w:t>乙方确认已对本确认书进行了及时、认真的检查，并确认本确认书的上述内容正确地反映了甲乙双方就本交易所达成的条款和条件。</w:t>
      </w:r>
    </w:p>
    <w:p>
      <w:pPr>
        <w:spacing w:line="360" w:lineRule="auto"/>
        <w:ind w:firstLine="480" w:firstLineChars="200"/>
        <w:rPr>
          <w:rFonts w:ascii="楷体" w:hAnsi="楷体" w:eastAsia="楷体"/>
          <w:sz w:val="24"/>
        </w:rPr>
      </w:pPr>
    </w:p>
    <w:p>
      <w:pPr>
        <w:spacing w:line="360" w:lineRule="auto"/>
        <w:ind w:firstLine="480" w:firstLineChars="200"/>
        <w:rPr>
          <w:rFonts w:ascii="楷体" w:hAnsi="楷体" w:eastAsia="楷体"/>
          <w:sz w:val="24"/>
        </w:rPr>
      </w:pPr>
    </w:p>
    <w:p>
      <w:pPr>
        <w:spacing w:line="360" w:lineRule="auto"/>
        <w:ind w:firstLine="480" w:firstLineChars="200"/>
        <w:rPr>
          <w:rFonts w:ascii="楷体" w:hAnsi="楷体" w:eastAsia="楷体"/>
          <w:sz w:val="24"/>
        </w:rPr>
      </w:pPr>
    </w:p>
    <w:p>
      <w:pPr>
        <w:tabs>
          <w:tab w:val="left" w:pos="2970"/>
        </w:tabs>
        <w:spacing w:line="360" w:lineRule="auto"/>
        <w:rPr>
          <w:rFonts w:ascii="楷体" w:hAnsi="楷体" w:eastAsia="楷体"/>
          <w:sz w:val="24"/>
        </w:rPr>
      </w:pPr>
      <w:r>
        <w:rPr>
          <w:rFonts w:hint="eastAsia" w:ascii="楷体" w:hAnsi="楷体" w:eastAsia="楷体"/>
          <w:sz w:val="24"/>
        </w:rPr>
        <w:t>签署日期：</w:t>
      </w:r>
      <w:r>
        <w:rPr>
          <w:rFonts w:ascii="楷体" w:hAnsi="楷体" w:eastAsia="楷体"/>
          <w:sz w:val="24"/>
        </w:rPr>
        <w:t xml:space="preserve"> </w:t>
      </w:r>
      <w:r>
        <w:rPr>
          <w:rFonts w:hint="eastAsia" w:ascii="楷体" w:hAnsi="楷体" w:eastAsia="楷体"/>
          <w:sz w:val="24"/>
          <w:lang w:val="en-US" w:eastAsia="zh-CN"/>
        </w:rPr>
        <w:t xml:space="preserve">    </w:t>
      </w:r>
      <w:r>
        <w:rPr>
          <w:rFonts w:ascii="楷体" w:hAnsi="楷体" w:eastAsia="楷体"/>
          <w:sz w:val="24"/>
        </w:rPr>
        <w:t>年</w:t>
      </w:r>
      <w:r>
        <w:rPr>
          <w:rFonts w:hint="eastAsia" w:ascii="楷体" w:hAnsi="楷体" w:eastAsia="楷体"/>
          <w:sz w:val="24"/>
          <w:lang w:val="en-US" w:eastAsia="zh-CN"/>
        </w:rPr>
        <w:t xml:space="preserve">  </w:t>
      </w:r>
      <w:r>
        <w:rPr>
          <w:rFonts w:ascii="楷体" w:hAnsi="楷体" w:eastAsia="楷体"/>
          <w:sz w:val="24"/>
        </w:rPr>
        <w:t>月</w:t>
      </w:r>
      <w:r>
        <w:rPr>
          <w:rFonts w:hint="eastAsia" w:ascii="楷体" w:hAnsi="楷体" w:eastAsia="楷体"/>
          <w:sz w:val="24"/>
          <w:lang w:val="en-US" w:eastAsia="zh-CN"/>
        </w:rPr>
        <w:t xml:space="preserve">  </w:t>
      </w:r>
      <w:r>
        <w:rPr>
          <w:rFonts w:ascii="楷体" w:hAnsi="楷体" w:eastAsia="楷体"/>
          <w:sz w:val="24"/>
        </w:rPr>
        <w:t>日</w:t>
      </w:r>
    </w:p>
    <w:p>
      <w:pPr>
        <w:tabs>
          <w:tab w:val="left" w:pos="2970"/>
        </w:tabs>
        <w:spacing w:line="360" w:lineRule="auto"/>
        <w:rPr>
          <w:rFonts w:eastAsia="楷体_GB2312"/>
          <w:szCs w:val="28"/>
        </w:rPr>
      </w:pPr>
    </w:p>
    <w:p/>
    <w:sectPr>
      <w:headerReference r:id="rId3" w:type="default"/>
      <w:footerReference r:id="rId4" w:type="default"/>
      <w:pgSz w:w="11906" w:h="16838"/>
      <w:pgMar w:top="1701" w:right="1418" w:bottom="1418" w:left="1418" w:header="851" w:footer="992"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pPr>
    <w:r>
      <w:rPr>
        <w:b/>
        <w:sz w:val="24"/>
        <w:szCs w:val="24"/>
      </w:rPr>
      <w:fldChar w:fldCharType="begin"/>
    </w:r>
    <w:r>
      <w:rPr>
        <w:b/>
      </w:rPr>
      <w:instrText xml:space="preserve">PAGE</w:instrText>
    </w:r>
    <w:r>
      <w:rPr>
        <w:b/>
        <w:sz w:val="24"/>
        <w:szCs w:val="24"/>
      </w:rPr>
      <w:fldChar w:fldCharType="separate"/>
    </w:r>
    <w:r>
      <w:rPr>
        <w:b/>
      </w:rPr>
      <w:t>9</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9</w:t>
    </w:r>
    <w:r>
      <w:rPr>
        <w:b/>
        <w:sz w:val="24"/>
        <w:szCs w:val="24"/>
      </w:rPr>
      <w:fldChar w:fldCharType="end"/>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7"/>
      <w:tblW w:w="9159" w:type="dxa"/>
      <w:tblInd w:w="-108" w:type="dxa"/>
      <w:tblLayout w:type="fixed"/>
      <w:tblCellMar>
        <w:top w:w="0" w:type="dxa"/>
        <w:left w:w="108" w:type="dxa"/>
        <w:bottom w:w="0" w:type="dxa"/>
        <w:right w:w="108" w:type="dxa"/>
      </w:tblCellMar>
    </w:tblPr>
    <w:tblGrid>
      <w:gridCol w:w="4745"/>
      <w:gridCol w:w="4414"/>
    </w:tblGrid>
    <w:tr>
      <w:tblPrEx>
        <w:tblCellMar>
          <w:top w:w="0" w:type="dxa"/>
          <w:left w:w="108" w:type="dxa"/>
          <w:bottom w:w="0" w:type="dxa"/>
          <w:right w:w="108" w:type="dxa"/>
        </w:tblCellMar>
      </w:tblPrEx>
      <w:trPr>
        <w:trHeight w:val="149" w:hRule="atLeast"/>
      </w:trPr>
      <w:tc>
        <w:tcPr>
          <w:tcW w:w="4745" w:type="dxa"/>
          <w:tcMar>
            <w:left w:w="0" w:type="dxa"/>
            <w:right w:w="57" w:type="dxa"/>
          </w:tcMar>
          <w:vAlign w:val="center"/>
        </w:tcPr>
        <w:p>
          <w:pPr>
            <w:pStyle w:val="12"/>
            <w:pBdr>
              <w:bottom w:val="none" w:color="auto" w:sz="0" w:space="0"/>
            </w:pBdr>
            <w:tabs>
              <w:tab w:val="left" w:pos="2662"/>
            </w:tabs>
            <w:jc w:val="both"/>
            <w:rPr>
              <w:b/>
              <w:sz w:val="21"/>
              <w:szCs w:val="21"/>
            </w:rPr>
          </w:pPr>
        </w:p>
      </w:tc>
      <w:tc>
        <w:tcPr>
          <w:tcW w:w="4414" w:type="dxa"/>
          <w:tcMar>
            <w:left w:w="0" w:type="dxa"/>
          </w:tcMar>
          <w:vAlign w:val="center"/>
        </w:tcPr>
        <w:p>
          <w:pPr>
            <w:pStyle w:val="12"/>
            <w:pBdr>
              <w:bottom w:val="none" w:color="auto" w:sz="0" w:space="0"/>
            </w:pBdr>
            <w:tabs>
              <w:tab w:val="left" w:pos="2662"/>
            </w:tabs>
            <w:jc w:val="right"/>
            <w:rPr>
              <w:rFonts w:ascii="黑体" w:eastAsia="黑体"/>
              <w:b/>
              <w:sz w:val="21"/>
              <w:szCs w:val="21"/>
            </w:rPr>
          </w:pPr>
          <w:r>
            <w:rPr>
              <w:rFonts w:hint="eastAsia" w:ascii="黑体" w:eastAsia="黑体"/>
              <w:b/>
              <w:sz w:val="21"/>
              <w:szCs w:val="21"/>
            </w:rPr>
            <w:t>场外衍生品</w:t>
          </w:r>
        </w:p>
        <w:p>
          <w:pPr>
            <w:pStyle w:val="12"/>
            <w:pBdr>
              <w:bottom w:val="none" w:color="auto" w:sz="0" w:space="0"/>
            </w:pBdr>
            <w:tabs>
              <w:tab w:val="left" w:pos="2662"/>
            </w:tabs>
            <w:jc w:val="right"/>
            <w:rPr>
              <w:b/>
              <w:sz w:val="21"/>
              <w:szCs w:val="21"/>
            </w:rPr>
          </w:pPr>
          <w:r>
            <w:rPr>
              <w:rFonts w:hint="eastAsia" w:ascii="黑体" w:eastAsia="黑体"/>
              <w:b/>
              <w:sz w:val="21"/>
              <w:szCs w:val="21"/>
            </w:rPr>
            <w:t>交易确认书</w:t>
          </w:r>
        </w:p>
      </w:tc>
    </w:tr>
  </w:tbl>
  <w:p>
    <w:pPr>
      <w:pStyle w:val="12"/>
      <w:pBdr>
        <w:bottom w:val="single" w:color="auto" w:sz="6" w:space="0"/>
      </w:pBdr>
      <w:tabs>
        <w:tab w:val="left" w:pos="2662"/>
      </w:tabs>
      <w:jc w:val="both"/>
      <w:rPr>
        <w:b/>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E55D1"/>
    <w:multiLevelType w:val="multilevel"/>
    <w:tmpl w:val="049E55D1"/>
    <w:lvl w:ilvl="0" w:tentative="0">
      <w:start w:val="1"/>
      <w:numFmt w:val="decimal"/>
      <w:pStyle w:val="43"/>
      <w:lvlText w:val="第%1条."/>
      <w:lvlJc w:val="left"/>
      <w:pPr>
        <w:tabs>
          <w:tab w:val="left" w:pos="804"/>
        </w:tabs>
        <w:ind w:left="804" w:hanging="624"/>
      </w:pPr>
      <w:rPr>
        <w:rFonts w:hint="eastAsia" w:ascii="Times New Roman" w:hAnsi="Times New Roman" w:eastAsia="仿宋_GB2312"/>
        <w:b/>
        <w:i w:val="0"/>
        <w:sz w:val="24"/>
        <w:szCs w:val="24"/>
      </w:rPr>
    </w:lvl>
    <w:lvl w:ilvl="1" w:tentative="0">
      <w:start w:val="1"/>
      <w:numFmt w:val="decimal"/>
      <w:pStyle w:val="44"/>
      <w:lvlText w:val="%1.%2"/>
      <w:lvlJc w:val="left"/>
      <w:pPr>
        <w:tabs>
          <w:tab w:val="left" w:pos="1164"/>
        </w:tabs>
        <w:ind w:left="1164" w:hanging="624"/>
      </w:pPr>
      <w:rPr>
        <w:rFonts w:hint="eastAsia" w:ascii="Times New Roman" w:hAnsi="Times New Roman" w:eastAsia="仿宋_GB2312" w:cs="Arial"/>
        <w:b w:val="0"/>
        <w:i w:val="0"/>
        <w:sz w:val="24"/>
        <w:szCs w:val="24"/>
      </w:rPr>
    </w:lvl>
    <w:lvl w:ilvl="2" w:tentative="0">
      <w:start w:val="1"/>
      <w:numFmt w:val="decimal"/>
      <w:pStyle w:val="45"/>
      <w:lvlText w:val="(%3)"/>
      <w:lvlJc w:val="left"/>
      <w:pPr>
        <w:tabs>
          <w:tab w:val="left" w:pos="624"/>
        </w:tabs>
        <w:ind w:left="624" w:hanging="624"/>
      </w:pPr>
      <w:rPr>
        <w:rFonts w:hint="default" w:ascii="Arial" w:hAnsi="Arial" w:cs="Times New Roman"/>
        <w:b w:val="0"/>
        <w:i w:val="0"/>
        <w:sz w:val="24"/>
        <w:szCs w:val="24"/>
      </w:rPr>
    </w:lvl>
    <w:lvl w:ilvl="3" w:tentative="0">
      <w:start w:val="1"/>
      <w:numFmt w:val="decimal"/>
      <w:pStyle w:val="46"/>
      <w:lvlText w:val="%1.%2.%4"/>
      <w:lvlJc w:val="left"/>
      <w:pPr>
        <w:tabs>
          <w:tab w:val="left" w:pos="1817"/>
        </w:tabs>
        <w:ind w:left="1817" w:hanging="737"/>
      </w:pPr>
      <w:rPr>
        <w:rFonts w:hint="eastAsia" w:ascii="Times New Roman" w:hAnsi="Times New Roman" w:eastAsia="仿宋_GB2312" w:cs="Arial"/>
        <w:b w:val="0"/>
        <w:i w:val="0"/>
        <w:sz w:val="24"/>
        <w:szCs w:val="24"/>
        <w:lang w:val="en-US"/>
      </w:rPr>
    </w:lvl>
    <w:lvl w:ilvl="4" w:tentative="0">
      <w:start w:val="1"/>
      <w:numFmt w:val="lowerLetter"/>
      <w:lvlText w:val="(%5)"/>
      <w:lvlJc w:val="left"/>
      <w:pPr>
        <w:tabs>
          <w:tab w:val="left" w:pos="1361"/>
        </w:tabs>
        <w:ind w:left="1361" w:hanging="737"/>
      </w:pPr>
      <w:rPr>
        <w:rFonts w:hint="default" w:ascii="Arial" w:hAnsi="Arial" w:cs="Times New Roman"/>
        <w:b w:val="0"/>
        <w:i w:val="0"/>
        <w:sz w:val="20"/>
      </w:rPr>
    </w:lvl>
    <w:lvl w:ilvl="5" w:tentative="0">
      <w:start w:val="1"/>
      <w:numFmt w:val="lowerRoman"/>
      <w:lvlText w:val="(%6)"/>
      <w:lvlJc w:val="left"/>
      <w:pPr>
        <w:tabs>
          <w:tab w:val="left" w:pos="2041"/>
        </w:tabs>
        <w:ind w:left="2041" w:hanging="680"/>
      </w:pPr>
      <w:rPr>
        <w:rFonts w:hint="default" w:ascii="Arial" w:hAnsi="Arial" w:cs="Times New Roman"/>
        <w:b w:val="0"/>
        <w:i w:val="0"/>
        <w:sz w:val="20"/>
      </w:rPr>
    </w:lvl>
    <w:lvl w:ilvl="6" w:tentative="0">
      <w:start w:val="1"/>
      <w:numFmt w:val="upperLetter"/>
      <w:pStyle w:val="49"/>
      <w:lvlText w:val="(%7)"/>
      <w:lvlJc w:val="left"/>
      <w:pPr>
        <w:tabs>
          <w:tab w:val="left" w:pos="2041"/>
        </w:tabs>
        <w:ind w:left="2041" w:hanging="680"/>
      </w:pPr>
      <w:rPr>
        <w:rFonts w:hint="default" w:ascii="Arial" w:hAnsi="Arial" w:cs="Times New Roman"/>
        <w:b w:val="0"/>
        <w:i w:val="0"/>
        <w:sz w:val="20"/>
      </w:rPr>
    </w:lvl>
    <w:lvl w:ilvl="7" w:tentative="0">
      <w:start w:val="1"/>
      <w:numFmt w:val="upperLetter"/>
      <w:pStyle w:val="50"/>
      <w:lvlText w:val="(%8)"/>
      <w:lvlJc w:val="left"/>
      <w:pPr>
        <w:tabs>
          <w:tab w:val="left" w:pos="2722"/>
        </w:tabs>
        <w:ind w:left="2722" w:hanging="681"/>
      </w:pPr>
      <w:rPr>
        <w:rFonts w:hint="default" w:ascii="Arial" w:hAnsi="Arial" w:cs="Times New Roman"/>
        <w:b w:val="0"/>
        <w:i w:val="0"/>
        <w:sz w:val="20"/>
      </w:rPr>
    </w:lvl>
    <w:lvl w:ilvl="8" w:tentative="0">
      <w:start w:val="1"/>
      <w:numFmt w:val="none"/>
      <w:lvlText w:val=""/>
      <w:lvlJc w:val="left"/>
      <w:pPr>
        <w:tabs>
          <w:tab w:val="left" w:pos="4320"/>
        </w:tabs>
        <w:ind w:left="4320" w:hanging="1440"/>
      </w:pPr>
    </w:lvl>
  </w:abstractNum>
  <w:abstractNum w:abstractNumId="1">
    <w:nsid w:val="5CA20D9A"/>
    <w:multiLevelType w:val="multilevel"/>
    <w:tmpl w:val="5CA20D9A"/>
    <w:lvl w:ilvl="0" w:tentative="0">
      <w:start w:val="1"/>
      <w:numFmt w:val="chineseCountingThousand"/>
      <w:lvlText w:val="%1、"/>
      <w:lvlJc w:val="left"/>
      <w:pPr>
        <w:ind w:left="420" w:hanging="420"/>
      </w:pPr>
      <w:rPr>
        <w:rFonts w:hint="default" w:ascii="Times New Roman" w:hAnsi="Times New Roman"/>
        <w:b/>
        <w:sz w:val="28"/>
      </w:rPr>
    </w:lvl>
    <w:lvl w:ilvl="1" w:tentative="0">
      <w:start w:val="1"/>
      <w:numFmt w:val="decimal"/>
      <w:isLgl/>
      <w:lvlText w:val="%1.%2"/>
      <w:lvlJc w:val="left"/>
      <w:pPr>
        <w:ind w:left="405" w:hanging="405"/>
      </w:pPr>
      <w:rPr>
        <w:rFonts w:hint="default"/>
        <w:b w:val="0"/>
      </w:rPr>
    </w:lvl>
    <w:lvl w:ilvl="2" w:tentative="0">
      <w:start w:val="1"/>
      <w:numFmt w:val="decimal"/>
      <w:lvlText w:val="（%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7B2"/>
    <w:rsid w:val="000124C5"/>
    <w:rsid w:val="0001251F"/>
    <w:rsid w:val="00013191"/>
    <w:rsid w:val="000134E8"/>
    <w:rsid w:val="00014FFE"/>
    <w:rsid w:val="000216BE"/>
    <w:rsid w:val="00022367"/>
    <w:rsid w:val="00035CEF"/>
    <w:rsid w:val="0004318A"/>
    <w:rsid w:val="00046924"/>
    <w:rsid w:val="00046F58"/>
    <w:rsid w:val="00047AE0"/>
    <w:rsid w:val="000519E5"/>
    <w:rsid w:val="00061805"/>
    <w:rsid w:val="00063DDA"/>
    <w:rsid w:val="00066F3C"/>
    <w:rsid w:val="00082839"/>
    <w:rsid w:val="00082F85"/>
    <w:rsid w:val="00083468"/>
    <w:rsid w:val="00083B0A"/>
    <w:rsid w:val="00086547"/>
    <w:rsid w:val="0008655B"/>
    <w:rsid w:val="00087BAE"/>
    <w:rsid w:val="000903D0"/>
    <w:rsid w:val="00091292"/>
    <w:rsid w:val="000A65DE"/>
    <w:rsid w:val="000B11B3"/>
    <w:rsid w:val="000B2969"/>
    <w:rsid w:val="000B37DC"/>
    <w:rsid w:val="000B7A0B"/>
    <w:rsid w:val="000D60F9"/>
    <w:rsid w:val="000D7E70"/>
    <w:rsid w:val="000E180D"/>
    <w:rsid w:val="000E29A0"/>
    <w:rsid w:val="000E4F61"/>
    <w:rsid w:val="000F5497"/>
    <w:rsid w:val="0010646D"/>
    <w:rsid w:val="001100C6"/>
    <w:rsid w:val="001120DF"/>
    <w:rsid w:val="00117913"/>
    <w:rsid w:val="00121EB2"/>
    <w:rsid w:val="00134311"/>
    <w:rsid w:val="00136C9E"/>
    <w:rsid w:val="00144FA6"/>
    <w:rsid w:val="00146364"/>
    <w:rsid w:val="00154B3D"/>
    <w:rsid w:val="00156191"/>
    <w:rsid w:val="00157FEF"/>
    <w:rsid w:val="0017238E"/>
    <w:rsid w:val="00172419"/>
    <w:rsid w:val="00173673"/>
    <w:rsid w:val="00174217"/>
    <w:rsid w:val="001746FE"/>
    <w:rsid w:val="0018017B"/>
    <w:rsid w:val="00190171"/>
    <w:rsid w:val="001C0C1F"/>
    <w:rsid w:val="001D318B"/>
    <w:rsid w:val="001D31E8"/>
    <w:rsid w:val="001D44B6"/>
    <w:rsid w:val="001D7719"/>
    <w:rsid w:val="00221D01"/>
    <w:rsid w:val="00222A24"/>
    <w:rsid w:val="00234C6E"/>
    <w:rsid w:val="00242240"/>
    <w:rsid w:val="00251508"/>
    <w:rsid w:val="00262543"/>
    <w:rsid w:val="002625EA"/>
    <w:rsid w:val="0028108E"/>
    <w:rsid w:val="00282192"/>
    <w:rsid w:val="002861FC"/>
    <w:rsid w:val="00290E79"/>
    <w:rsid w:val="00290FAE"/>
    <w:rsid w:val="002A74C2"/>
    <w:rsid w:val="002B0065"/>
    <w:rsid w:val="002B5DF3"/>
    <w:rsid w:val="002B6FAC"/>
    <w:rsid w:val="002D21F5"/>
    <w:rsid w:val="002D5157"/>
    <w:rsid w:val="002E14F1"/>
    <w:rsid w:val="002E2E71"/>
    <w:rsid w:val="002F047D"/>
    <w:rsid w:val="002F27AA"/>
    <w:rsid w:val="002F3A14"/>
    <w:rsid w:val="003012F8"/>
    <w:rsid w:val="00301AE7"/>
    <w:rsid w:val="00301E74"/>
    <w:rsid w:val="0030339A"/>
    <w:rsid w:val="003037DD"/>
    <w:rsid w:val="00316504"/>
    <w:rsid w:val="00340D07"/>
    <w:rsid w:val="003460A6"/>
    <w:rsid w:val="003520EF"/>
    <w:rsid w:val="00355922"/>
    <w:rsid w:val="00360ABA"/>
    <w:rsid w:val="00361E67"/>
    <w:rsid w:val="003625F4"/>
    <w:rsid w:val="00364443"/>
    <w:rsid w:val="00364B13"/>
    <w:rsid w:val="003659DB"/>
    <w:rsid w:val="003679B7"/>
    <w:rsid w:val="0037148B"/>
    <w:rsid w:val="00382F27"/>
    <w:rsid w:val="00385541"/>
    <w:rsid w:val="00386ED7"/>
    <w:rsid w:val="0038781E"/>
    <w:rsid w:val="00390DEE"/>
    <w:rsid w:val="003937AD"/>
    <w:rsid w:val="00393B87"/>
    <w:rsid w:val="00393E28"/>
    <w:rsid w:val="00396F09"/>
    <w:rsid w:val="0039761B"/>
    <w:rsid w:val="003A15DF"/>
    <w:rsid w:val="003A42EC"/>
    <w:rsid w:val="003B32BD"/>
    <w:rsid w:val="003B61D6"/>
    <w:rsid w:val="003C1DBE"/>
    <w:rsid w:val="003C4666"/>
    <w:rsid w:val="003C6D9F"/>
    <w:rsid w:val="003D3005"/>
    <w:rsid w:val="003E076E"/>
    <w:rsid w:val="003E07D2"/>
    <w:rsid w:val="003F4F4E"/>
    <w:rsid w:val="003F510A"/>
    <w:rsid w:val="00400882"/>
    <w:rsid w:val="00402D39"/>
    <w:rsid w:val="00404065"/>
    <w:rsid w:val="00410303"/>
    <w:rsid w:val="004105C6"/>
    <w:rsid w:val="004206A9"/>
    <w:rsid w:val="0042222E"/>
    <w:rsid w:val="0042267D"/>
    <w:rsid w:val="00424FC5"/>
    <w:rsid w:val="00432208"/>
    <w:rsid w:val="004326CC"/>
    <w:rsid w:val="00440E76"/>
    <w:rsid w:val="004452CE"/>
    <w:rsid w:val="00445AEB"/>
    <w:rsid w:val="00455BD3"/>
    <w:rsid w:val="00457021"/>
    <w:rsid w:val="004603C0"/>
    <w:rsid w:val="00461B76"/>
    <w:rsid w:val="0047658E"/>
    <w:rsid w:val="0049328E"/>
    <w:rsid w:val="00495947"/>
    <w:rsid w:val="004A2C21"/>
    <w:rsid w:val="004A5A6E"/>
    <w:rsid w:val="004B5087"/>
    <w:rsid w:val="004B5229"/>
    <w:rsid w:val="004B5301"/>
    <w:rsid w:val="004E655B"/>
    <w:rsid w:val="004E759A"/>
    <w:rsid w:val="004E75E3"/>
    <w:rsid w:val="004F0627"/>
    <w:rsid w:val="004F1554"/>
    <w:rsid w:val="004F529D"/>
    <w:rsid w:val="004F763C"/>
    <w:rsid w:val="004F77A4"/>
    <w:rsid w:val="00504F1F"/>
    <w:rsid w:val="00505FD1"/>
    <w:rsid w:val="00513EE0"/>
    <w:rsid w:val="00524902"/>
    <w:rsid w:val="00525C42"/>
    <w:rsid w:val="00537E89"/>
    <w:rsid w:val="00547F3D"/>
    <w:rsid w:val="005556A8"/>
    <w:rsid w:val="00557C04"/>
    <w:rsid w:val="00561499"/>
    <w:rsid w:val="00567F10"/>
    <w:rsid w:val="005741F2"/>
    <w:rsid w:val="00583A52"/>
    <w:rsid w:val="00584952"/>
    <w:rsid w:val="00590D62"/>
    <w:rsid w:val="005B1972"/>
    <w:rsid w:val="005B4EF8"/>
    <w:rsid w:val="005C33D6"/>
    <w:rsid w:val="005C409F"/>
    <w:rsid w:val="005C6596"/>
    <w:rsid w:val="005D1752"/>
    <w:rsid w:val="005D2986"/>
    <w:rsid w:val="005E3767"/>
    <w:rsid w:val="005F33B6"/>
    <w:rsid w:val="005F6008"/>
    <w:rsid w:val="005F7BF6"/>
    <w:rsid w:val="0060320A"/>
    <w:rsid w:val="00603787"/>
    <w:rsid w:val="00605734"/>
    <w:rsid w:val="0061030B"/>
    <w:rsid w:val="00610B30"/>
    <w:rsid w:val="00614CF3"/>
    <w:rsid w:val="00620DC2"/>
    <w:rsid w:val="00634DBA"/>
    <w:rsid w:val="00642933"/>
    <w:rsid w:val="00646441"/>
    <w:rsid w:val="00653DC0"/>
    <w:rsid w:val="00653E8B"/>
    <w:rsid w:val="006733E7"/>
    <w:rsid w:val="00675507"/>
    <w:rsid w:val="006769A7"/>
    <w:rsid w:val="00683327"/>
    <w:rsid w:val="006855CE"/>
    <w:rsid w:val="00687D46"/>
    <w:rsid w:val="00690380"/>
    <w:rsid w:val="006925B6"/>
    <w:rsid w:val="006C0C26"/>
    <w:rsid w:val="006D1F5F"/>
    <w:rsid w:val="006D4976"/>
    <w:rsid w:val="006D773E"/>
    <w:rsid w:val="006E2F12"/>
    <w:rsid w:val="006F2025"/>
    <w:rsid w:val="006F3B79"/>
    <w:rsid w:val="006F58C7"/>
    <w:rsid w:val="006F7601"/>
    <w:rsid w:val="00702A2E"/>
    <w:rsid w:val="00710B3E"/>
    <w:rsid w:val="007224EC"/>
    <w:rsid w:val="00723561"/>
    <w:rsid w:val="007240F5"/>
    <w:rsid w:val="00725371"/>
    <w:rsid w:val="0072558A"/>
    <w:rsid w:val="00732AA9"/>
    <w:rsid w:val="00734573"/>
    <w:rsid w:val="00736B84"/>
    <w:rsid w:val="0074137F"/>
    <w:rsid w:val="00747EE1"/>
    <w:rsid w:val="00752B9E"/>
    <w:rsid w:val="00754473"/>
    <w:rsid w:val="007551AE"/>
    <w:rsid w:val="00756194"/>
    <w:rsid w:val="007575D1"/>
    <w:rsid w:val="00760531"/>
    <w:rsid w:val="00766175"/>
    <w:rsid w:val="00770733"/>
    <w:rsid w:val="007708F2"/>
    <w:rsid w:val="00773678"/>
    <w:rsid w:val="00776B63"/>
    <w:rsid w:val="00777AF6"/>
    <w:rsid w:val="00777D55"/>
    <w:rsid w:val="00780973"/>
    <w:rsid w:val="00780C6E"/>
    <w:rsid w:val="00781934"/>
    <w:rsid w:val="00783813"/>
    <w:rsid w:val="00783C9B"/>
    <w:rsid w:val="00791964"/>
    <w:rsid w:val="00791BE4"/>
    <w:rsid w:val="007A70C5"/>
    <w:rsid w:val="007A773C"/>
    <w:rsid w:val="007B387E"/>
    <w:rsid w:val="007B41BD"/>
    <w:rsid w:val="007B64B8"/>
    <w:rsid w:val="007B6915"/>
    <w:rsid w:val="007B6B00"/>
    <w:rsid w:val="007B6D4F"/>
    <w:rsid w:val="007C4A0D"/>
    <w:rsid w:val="007C56AC"/>
    <w:rsid w:val="007D490A"/>
    <w:rsid w:val="007D4932"/>
    <w:rsid w:val="007D49B1"/>
    <w:rsid w:val="007D5CD6"/>
    <w:rsid w:val="007E4DA5"/>
    <w:rsid w:val="007E67E6"/>
    <w:rsid w:val="007F09FC"/>
    <w:rsid w:val="007F284C"/>
    <w:rsid w:val="00804983"/>
    <w:rsid w:val="00807683"/>
    <w:rsid w:val="00813857"/>
    <w:rsid w:val="00814237"/>
    <w:rsid w:val="00814C69"/>
    <w:rsid w:val="008200BE"/>
    <w:rsid w:val="00826D40"/>
    <w:rsid w:val="00834932"/>
    <w:rsid w:val="00841204"/>
    <w:rsid w:val="0084558B"/>
    <w:rsid w:val="00850BF5"/>
    <w:rsid w:val="00851489"/>
    <w:rsid w:val="0085349C"/>
    <w:rsid w:val="00860D49"/>
    <w:rsid w:val="008654E8"/>
    <w:rsid w:val="008676F3"/>
    <w:rsid w:val="00870B00"/>
    <w:rsid w:val="008846D5"/>
    <w:rsid w:val="008873B0"/>
    <w:rsid w:val="00896649"/>
    <w:rsid w:val="00896DBF"/>
    <w:rsid w:val="008A44CF"/>
    <w:rsid w:val="008A639F"/>
    <w:rsid w:val="008A70FD"/>
    <w:rsid w:val="008B0C00"/>
    <w:rsid w:val="008B4CBA"/>
    <w:rsid w:val="008C1D7C"/>
    <w:rsid w:val="008C2DB6"/>
    <w:rsid w:val="008C496D"/>
    <w:rsid w:val="008C5F27"/>
    <w:rsid w:val="008C615F"/>
    <w:rsid w:val="008C63AF"/>
    <w:rsid w:val="008C74E7"/>
    <w:rsid w:val="008D0961"/>
    <w:rsid w:val="008D6FC9"/>
    <w:rsid w:val="008E2656"/>
    <w:rsid w:val="008E4251"/>
    <w:rsid w:val="008F4FF0"/>
    <w:rsid w:val="008F581E"/>
    <w:rsid w:val="00900078"/>
    <w:rsid w:val="009250FD"/>
    <w:rsid w:val="009267DB"/>
    <w:rsid w:val="00930405"/>
    <w:rsid w:val="0093382C"/>
    <w:rsid w:val="00933ED6"/>
    <w:rsid w:val="0094203C"/>
    <w:rsid w:val="009570CA"/>
    <w:rsid w:val="0096490C"/>
    <w:rsid w:val="00983975"/>
    <w:rsid w:val="00986EC4"/>
    <w:rsid w:val="00987E8C"/>
    <w:rsid w:val="00993191"/>
    <w:rsid w:val="009963D3"/>
    <w:rsid w:val="00997D7B"/>
    <w:rsid w:val="009B79CB"/>
    <w:rsid w:val="009C0DEE"/>
    <w:rsid w:val="009C46AA"/>
    <w:rsid w:val="009C598B"/>
    <w:rsid w:val="009D11E5"/>
    <w:rsid w:val="009D2E1E"/>
    <w:rsid w:val="009D55FC"/>
    <w:rsid w:val="009E0DFD"/>
    <w:rsid w:val="009F1199"/>
    <w:rsid w:val="009F1C3E"/>
    <w:rsid w:val="009F218D"/>
    <w:rsid w:val="009F2F31"/>
    <w:rsid w:val="009F3D70"/>
    <w:rsid w:val="00A045C0"/>
    <w:rsid w:val="00A07487"/>
    <w:rsid w:val="00A1141D"/>
    <w:rsid w:val="00A11CE0"/>
    <w:rsid w:val="00A1311D"/>
    <w:rsid w:val="00A16D23"/>
    <w:rsid w:val="00A2341C"/>
    <w:rsid w:val="00A27C03"/>
    <w:rsid w:val="00A30E9A"/>
    <w:rsid w:val="00A31EC9"/>
    <w:rsid w:val="00A3280B"/>
    <w:rsid w:val="00A3389A"/>
    <w:rsid w:val="00A41B73"/>
    <w:rsid w:val="00A432AB"/>
    <w:rsid w:val="00A570B5"/>
    <w:rsid w:val="00A6137B"/>
    <w:rsid w:val="00A65BC1"/>
    <w:rsid w:val="00A71B41"/>
    <w:rsid w:val="00A77CB5"/>
    <w:rsid w:val="00A80A79"/>
    <w:rsid w:val="00A87F5A"/>
    <w:rsid w:val="00AA0142"/>
    <w:rsid w:val="00AA0EB9"/>
    <w:rsid w:val="00AB4CFA"/>
    <w:rsid w:val="00AC207E"/>
    <w:rsid w:val="00AC2B95"/>
    <w:rsid w:val="00AC49A8"/>
    <w:rsid w:val="00AC4E66"/>
    <w:rsid w:val="00AD124C"/>
    <w:rsid w:val="00AD37CB"/>
    <w:rsid w:val="00AD6976"/>
    <w:rsid w:val="00AD7849"/>
    <w:rsid w:val="00AE1465"/>
    <w:rsid w:val="00AE1734"/>
    <w:rsid w:val="00AE2800"/>
    <w:rsid w:val="00AE40DF"/>
    <w:rsid w:val="00AF1272"/>
    <w:rsid w:val="00AF3494"/>
    <w:rsid w:val="00AF56C0"/>
    <w:rsid w:val="00AF6024"/>
    <w:rsid w:val="00B0475F"/>
    <w:rsid w:val="00B07DA3"/>
    <w:rsid w:val="00B14D29"/>
    <w:rsid w:val="00B234CA"/>
    <w:rsid w:val="00B269BD"/>
    <w:rsid w:val="00B34428"/>
    <w:rsid w:val="00B351C9"/>
    <w:rsid w:val="00B463BA"/>
    <w:rsid w:val="00B52118"/>
    <w:rsid w:val="00B532D2"/>
    <w:rsid w:val="00B54894"/>
    <w:rsid w:val="00B61E43"/>
    <w:rsid w:val="00B62BF2"/>
    <w:rsid w:val="00B63D99"/>
    <w:rsid w:val="00B64187"/>
    <w:rsid w:val="00B67D1B"/>
    <w:rsid w:val="00B757F1"/>
    <w:rsid w:val="00B76F3C"/>
    <w:rsid w:val="00B8143F"/>
    <w:rsid w:val="00B90712"/>
    <w:rsid w:val="00B948A7"/>
    <w:rsid w:val="00B95558"/>
    <w:rsid w:val="00BB069D"/>
    <w:rsid w:val="00BC2090"/>
    <w:rsid w:val="00BD1F13"/>
    <w:rsid w:val="00BD3F2D"/>
    <w:rsid w:val="00BD49BD"/>
    <w:rsid w:val="00BE64BF"/>
    <w:rsid w:val="00BF3AC3"/>
    <w:rsid w:val="00BF3BF5"/>
    <w:rsid w:val="00BF4D69"/>
    <w:rsid w:val="00C02DFF"/>
    <w:rsid w:val="00C03A43"/>
    <w:rsid w:val="00C04B9C"/>
    <w:rsid w:val="00C06B2F"/>
    <w:rsid w:val="00C22270"/>
    <w:rsid w:val="00C34A9D"/>
    <w:rsid w:val="00C50481"/>
    <w:rsid w:val="00C56B6C"/>
    <w:rsid w:val="00C57B93"/>
    <w:rsid w:val="00C6295C"/>
    <w:rsid w:val="00C63501"/>
    <w:rsid w:val="00C6366F"/>
    <w:rsid w:val="00C647B3"/>
    <w:rsid w:val="00C66C18"/>
    <w:rsid w:val="00C744DD"/>
    <w:rsid w:val="00C77995"/>
    <w:rsid w:val="00C80A14"/>
    <w:rsid w:val="00C873E2"/>
    <w:rsid w:val="00C90720"/>
    <w:rsid w:val="00C93FA9"/>
    <w:rsid w:val="00C94702"/>
    <w:rsid w:val="00CA078D"/>
    <w:rsid w:val="00CA0817"/>
    <w:rsid w:val="00CB1066"/>
    <w:rsid w:val="00CB7451"/>
    <w:rsid w:val="00CC1905"/>
    <w:rsid w:val="00CD0A5E"/>
    <w:rsid w:val="00CD6AA8"/>
    <w:rsid w:val="00CE1310"/>
    <w:rsid w:val="00CE4C03"/>
    <w:rsid w:val="00CE4EB7"/>
    <w:rsid w:val="00CE62D7"/>
    <w:rsid w:val="00CE7D06"/>
    <w:rsid w:val="00CF116C"/>
    <w:rsid w:val="00D02ACA"/>
    <w:rsid w:val="00D04185"/>
    <w:rsid w:val="00D0696C"/>
    <w:rsid w:val="00D1273C"/>
    <w:rsid w:val="00D14D6E"/>
    <w:rsid w:val="00D25078"/>
    <w:rsid w:val="00D278D8"/>
    <w:rsid w:val="00D329CC"/>
    <w:rsid w:val="00D334B2"/>
    <w:rsid w:val="00D40EC3"/>
    <w:rsid w:val="00D43719"/>
    <w:rsid w:val="00D4611B"/>
    <w:rsid w:val="00D504DA"/>
    <w:rsid w:val="00D51CBC"/>
    <w:rsid w:val="00D57912"/>
    <w:rsid w:val="00D6059F"/>
    <w:rsid w:val="00D6071D"/>
    <w:rsid w:val="00D65C53"/>
    <w:rsid w:val="00D756F5"/>
    <w:rsid w:val="00D806DC"/>
    <w:rsid w:val="00D8260C"/>
    <w:rsid w:val="00D90FDD"/>
    <w:rsid w:val="00D92F18"/>
    <w:rsid w:val="00D93C20"/>
    <w:rsid w:val="00D946B0"/>
    <w:rsid w:val="00D9623A"/>
    <w:rsid w:val="00D96969"/>
    <w:rsid w:val="00DA0D56"/>
    <w:rsid w:val="00DA5E06"/>
    <w:rsid w:val="00DB15B9"/>
    <w:rsid w:val="00DB7457"/>
    <w:rsid w:val="00DC1030"/>
    <w:rsid w:val="00DD26DE"/>
    <w:rsid w:val="00DD3AAA"/>
    <w:rsid w:val="00DD4B42"/>
    <w:rsid w:val="00DD7674"/>
    <w:rsid w:val="00DD7A0C"/>
    <w:rsid w:val="00DE6429"/>
    <w:rsid w:val="00DF37FC"/>
    <w:rsid w:val="00E0176A"/>
    <w:rsid w:val="00E029C3"/>
    <w:rsid w:val="00E034FB"/>
    <w:rsid w:val="00E10559"/>
    <w:rsid w:val="00E10637"/>
    <w:rsid w:val="00E10D5F"/>
    <w:rsid w:val="00E12F38"/>
    <w:rsid w:val="00E13D89"/>
    <w:rsid w:val="00E14ECE"/>
    <w:rsid w:val="00E152B8"/>
    <w:rsid w:val="00E20247"/>
    <w:rsid w:val="00E2183D"/>
    <w:rsid w:val="00E23A42"/>
    <w:rsid w:val="00E262DA"/>
    <w:rsid w:val="00E31CE4"/>
    <w:rsid w:val="00E32E2B"/>
    <w:rsid w:val="00E35122"/>
    <w:rsid w:val="00E362A2"/>
    <w:rsid w:val="00E41645"/>
    <w:rsid w:val="00E41D01"/>
    <w:rsid w:val="00E42487"/>
    <w:rsid w:val="00E439B9"/>
    <w:rsid w:val="00E43AC3"/>
    <w:rsid w:val="00E469FF"/>
    <w:rsid w:val="00E5277B"/>
    <w:rsid w:val="00E6659C"/>
    <w:rsid w:val="00E70628"/>
    <w:rsid w:val="00E718B9"/>
    <w:rsid w:val="00E74645"/>
    <w:rsid w:val="00E81322"/>
    <w:rsid w:val="00E81334"/>
    <w:rsid w:val="00E83648"/>
    <w:rsid w:val="00E84477"/>
    <w:rsid w:val="00E87AFD"/>
    <w:rsid w:val="00E904AF"/>
    <w:rsid w:val="00E944C5"/>
    <w:rsid w:val="00E96AF1"/>
    <w:rsid w:val="00EA014B"/>
    <w:rsid w:val="00EA147B"/>
    <w:rsid w:val="00EA6329"/>
    <w:rsid w:val="00EB2B64"/>
    <w:rsid w:val="00EB4B07"/>
    <w:rsid w:val="00EB58A2"/>
    <w:rsid w:val="00EB74DB"/>
    <w:rsid w:val="00EC04DF"/>
    <w:rsid w:val="00EC1B71"/>
    <w:rsid w:val="00ED366C"/>
    <w:rsid w:val="00EE6BF6"/>
    <w:rsid w:val="00EF0904"/>
    <w:rsid w:val="00EF3279"/>
    <w:rsid w:val="00EF7737"/>
    <w:rsid w:val="00F03374"/>
    <w:rsid w:val="00F034B8"/>
    <w:rsid w:val="00F04228"/>
    <w:rsid w:val="00F043CF"/>
    <w:rsid w:val="00F052C4"/>
    <w:rsid w:val="00F10428"/>
    <w:rsid w:val="00F151D1"/>
    <w:rsid w:val="00F24699"/>
    <w:rsid w:val="00F30A84"/>
    <w:rsid w:val="00F3590E"/>
    <w:rsid w:val="00F406ED"/>
    <w:rsid w:val="00F41A17"/>
    <w:rsid w:val="00F462A2"/>
    <w:rsid w:val="00F4715F"/>
    <w:rsid w:val="00F521F4"/>
    <w:rsid w:val="00F5307E"/>
    <w:rsid w:val="00F54630"/>
    <w:rsid w:val="00F708CA"/>
    <w:rsid w:val="00F87A4A"/>
    <w:rsid w:val="00F910C6"/>
    <w:rsid w:val="00FA0B7D"/>
    <w:rsid w:val="00FA282C"/>
    <w:rsid w:val="00FA7048"/>
    <w:rsid w:val="00FB29A8"/>
    <w:rsid w:val="00FB45F7"/>
    <w:rsid w:val="00FB6320"/>
    <w:rsid w:val="00FC513A"/>
    <w:rsid w:val="00FC77F9"/>
    <w:rsid w:val="00FD7BEC"/>
    <w:rsid w:val="00FE42E1"/>
    <w:rsid w:val="00FE48F4"/>
    <w:rsid w:val="09F13BA4"/>
    <w:rsid w:val="0CEC0F6D"/>
    <w:rsid w:val="0D693D3B"/>
    <w:rsid w:val="0F071DEB"/>
    <w:rsid w:val="164904B5"/>
    <w:rsid w:val="23BF1F49"/>
    <w:rsid w:val="2BE26332"/>
    <w:rsid w:val="335562AB"/>
    <w:rsid w:val="33D240A4"/>
    <w:rsid w:val="37C223A5"/>
    <w:rsid w:val="391D0C33"/>
    <w:rsid w:val="414335F3"/>
    <w:rsid w:val="4178561D"/>
    <w:rsid w:val="42C32D0D"/>
    <w:rsid w:val="46344D80"/>
    <w:rsid w:val="4663470C"/>
    <w:rsid w:val="46982C91"/>
    <w:rsid w:val="4C5122E9"/>
    <w:rsid w:val="4E737FB4"/>
    <w:rsid w:val="4F62562F"/>
    <w:rsid w:val="54E14B38"/>
    <w:rsid w:val="585E0201"/>
    <w:rsid w:val="7E7808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7"/>
    <w:qFormat/>
    <w:uiPriority w:val="0"/>
    <w:pPr>
      <w:keepNext/>
      <w:keepLines/>
      <w:spacing w:before="260" w:after="260" w:line="415" w:lineRule="auto"/>
      <w:outlineLvl w:val="1"/>
    </w:pPr>
    <w:rPr>
      <w:rFonts w:ascii="Arial" w:hAnsi="Arial" w:eastAsia="黑体"/>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2"/>
    <w:unhideWhenUsed/>
    <w:qFormat/>
    <w:uiPriority w:val="0"/>
    <w:rPr>
      <w:rFonts w:ascii="宋体"/>
      <w:sz w:val="18"/>
      <w:szCs w:val="18"/>
    </w:rPr>
  </w:style>
  <w:style w:type="paragraph" w:styleId="5">
    <w:name w:val="annotation text"/>
    <w:basedOn w:val="1"/>
    <w:link w:val="30"/>
    <w:unhideWhenUsed/>
    <w:qFormat/>
    <w:uiPriority w:val="99"/>
    <w:rPr>
      <w:sz w:val="20"/>
      <w:szCs w:val="20"/>
    </w:rPr>
  </w:style>
  <w:style w:type="paragraph" w:styleId="6">
    <w:name w:val="Body Text Indent"/>
    <w:basedOn w:val="1"/>
    <w:link w:val="33"/>
    <w:qFormat/>
    <w:uiPriority w:val="0"/>
    <w:pPr>
      <w:spacing w:after="120"/>
      <w:ind w:left="420" w:leftChars="200"/>
    </w:pPr>
  </w:style>
  <w:style w:type="paragraph" w:styleId="7">
    <w:name w:val="Plain Text"/>
    <w:basedOn w:val="1"/>
    <w:link w:val="34"/>
    <w:qFormat/>
    <w:uiPriority w:val="0"/>
    <w:rPr>
      <w:rFonts w:hint="eastAsia" w:ascii="宋体" w:hAnsi="Courier New"/>
      <w:szCs w:val="20"/>
    </w:rPr>
  </w:style>
  <w:style w:type="paragraph" w:styleId="8">
    <w:name w:val="Date"/>
    <w:basedOn w:val="1"/>
    <w:next w:val="1"/>
    <w:link w:val="35"/>
    <w:qFormat/>
    <w:uiPriority w:val="0"/>
    <w:pPr>
      <w:ind w:left="100" w:leftChars="2500"/>
    </w:pPr>
  </w:style>
  <w:style w:type="paragraph" w:styleId="9">
    <w:name w:val="Body Text Indent 2"/>
    <w:basedOn w:val="1"/>
    <w:link w:val="36"/>
    <w:qFormat/>
    <w:uiPriority w:val="0"/>
    <w:pPr>
      <w:widowControl/>
      <w:spacing w:line="500" w:lineRule="exact"/>
      <w:ind w:firstLine="570"/>
      <w:jc w:val="left"/>
    </w:pPr>
    <w:rPr>
      <w:rFonts w:ascii="宋体" w:hAnsi="宋体"/>
      <w:kern w:val="0"/>
      <w:sz w:val="28"/>
    </w:rPr>
  </w:style>
  <w:style w:type="paragraph" w:styleId="10">
    <w:name w:val="Balloon Text"/>
    <w:basedOn w:val="1"/>
    <w:link w:val="37"/>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tabs>
        <w:tab w:val="right" w:leader="dot" w:pos="8296"/>
      </w:tabs>
    </w:pPr>
    <w:rPr>
      <w:rFonts w:eastAsia="仿宋_GB2312"/>
      <w:b/>
      <w:sz w:val="24"/>
    </w:rPr>
  </w:style>
  <w:style w:type="paragraph" w:styleId="14">
    <w:name w:val="footnote text"/>
    <w:basedOn w:val="1"/>
    <w:link w:val="38"/>
    <w:qFormat/>
    <w:uiPriority w:val="99"/>
    <w:pPr>
      <w:snapToGrid w:val="0"/>
      <w:jc w:val="left"/>
    </w:pPr>
    <w:rPr>
      <w:sz w:val="18"/>
      <w:szCs w:val="18"/>
    </w:rPr>
  </w:style>
  <w:style w:type="paragraph" w:styleId="15">
    <w:name w:val="toc 2"/>
    <w:basedOn w:val="1"/>
    <w:next w:val="1"/>
    <w:qFormat/>
    <w:uiPriority w:val="39"/>
    <w:pPr>
      <w:ind w:left="420" w:leftChars="200"/>
    </w:pPr>
  </w:style>
  <w:style w:type="paragraph" w:styleId="16">
    <w:name w:val="annotation subject"/>
    <w:basedOn w:val="5"/>
    <w:next w:val="5"/>
    <w:link w:val="31"/>
    <w:unhideWhenUsed/>
    <w:qFormat/>
    <w:uiPriority w:val="99"/>
    <w:pPr>
      <w:jc w:val="left"/>
    </w:pPr>
    <w:rPr>
      <w:b/>
      <w:bCs/>
      <w:sz w:val="21"/>
      <w:szCs w:val="24"/>
    </w:rPr>
  </w:style>
  <w:style w:type="table" w:styleId="18">
    <w:name w:val="Table Grid"/>
    <w:basedOn w:val="17"/>
    <w:qFormat/>
    <w:uiPriority w:val="9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page number"/>
    <w:basedOn w:val="19"/>
    <w:qFormat/>
    <w:uiPriority w:val="0"/>
  </w:style>
  <w:style w:type="character" w:styleId="22">
    <w:name w:val="FollowedHyperlink"/>
    <w:qFormat/>
    <w:uiPriority w:val="0"/>
    <w:rPr>
      <w:color w:val="800080"/>
      <w:u w:val="single"/>
    </w:rPr>
  </w:style>
  <w:style w:type="character" w:styleId="23">
    <w:name w:val="Hyperlink"/>
    <w:qFormat/>
    <w:uiPriority w:val="99"/>
    <w:rPr>
      <w:color w:val="0000FF"/>
      <w:u w:val="single"/>
    </w:rPr>
  </w:style>
  <w:style w:type="character" w:styleId="24">
    <w:name w:val="annotation reference"/>
    <w:qFormat/>
    <w:uiPriority w:val="99"/>
    <w:rPr>
      <w:sz w:val="21"/>
      <w:szCs w:val="21"/>
    </w:rPr>
  </w:style>
  <w:style w:type="character" w:styleId="25">
    <w:name w:val="footnote reference"/>
    <w:qFormat/>
    <w:uiPriority w:val="99"/>
    <w:rPr>
      <w:vertAlign w:val="superscript"/>
    </w:rPr>
  </w:style>
  <w:style w:type="character" w:customStyle="1" w:styleId="26">
    <w:name w:val="标题 1 字符"/>
    <w:basedOn w:val="19"/>
    <w:link w:val="2"/>
    <w:qFormat/>
    <w:uiPriority w:val="0"/>
    <w:rPr>
      <w:rFonts w:ascii="Times New Roman" w:hAnsi="Times New Roman" w:eastAsia="宋体" w:cs="Times New Roman"/>
      <w:b/>
      <w:bCs/>
      <w:kern w:val="44"/>
      <w:sz w:val="44"/>
      <w:szCs w:val="44"/>
    </w:rPr>
  </w:style>
  <w:style w:type="character" w:customStyle="1" w:styleId="27">
    <w:name w:val="标题 2 字符"/>
    <w:basedOn w:val="19"/>
    <w:link w:val="3"/>
    <w:qFormat/>
    <w:uiPriority w:val="0"/>
    <w:rPr>
      <w:rFonts w:ascii="Arial" w:hAnsi="Arial" w:eastAsia="黑体" w:cs="Times New Roman"/>
      <w:b/>
      <w:bCs/>
      <w:sz w:val="32"/>
      <w:szCs w:val="32"/>
    </w:rPr>
  </w:style>
  <w:style w:type="character" w:customStyle="1" w:styleId="28">
    <w:name w:val="页眉 字符"/>
    <w:basedOn w:val="19"/>
    <w:link w:val="12"/>
    <w:qFormat/>
    <w:uiPriority w:val="99"/>
    <w:rPr>
      <w:rFonts w:ascii="Times New Roman" w:hAnsi="Times New Roman" w:eastAsia="宋体" w:cs="Times New Roman"/>
      <w:sz w:val="18"/>
      <w:szCs w:val="18"/>
    </w:rPr>
  </w:style>
  <w:style w:type="character" w:customStyle="1" w:styleId="29">
    <w:name w:val="页脚 字符"/>
    <w:basedOn w:val="19"/>
    <w:link w:val="11"/>
    <w:qFormat/>
    <w:uiPriority w:val="99"/>
    <w:rPr>
      <w:rFonts w:ascii="Times New Roman" w:hAnsi="Times New Roman" w:eastAsia="宋体" w:cs="Times New Roman"/>
      <w:sz w:val="18"/>
      <w:szCs w:val="18"/>
    </w:rPr>
  </w:style>
  <w:style w:type="character" w:customStyle="1" w:styleId="30">
    <w:name w:val="批注文字 字符"/>
    <w:basedOn w:val="19"/>
    <w:link w:val="5"/>
    <w:qFormat/>
    <w:uiPriority w:val="99"/>
    <w:rPr>
      <w:rFonts w:ascii="Times New Roman" w:hAnsi="Times New Roman" w:eastAsia="宋体" w:cs="Times New Roman"/>
      <w:sz w:val="20"/>
      <w:szCs w:val="20"/>
    </w:rPr>
  </w:style>
  <w:style w:type="character" w:customStyle="1" w:styleId="31">
    <w:name w:val="批注主题 字符"/>
    <w:basedOn w:val="30"/>
    <w:link w:val="16"/>
    <w:qFormat/>
    <w:uiPriority w:val="99"/>
    <w:rPr>
      <w:rFonts w:ascii="Times New Roman" w:hAnsi="Times New Roman" w:eastAsia="宋体" w:cs="Times New Roman"/>
      <w:b/>
      <w:bCs/>
      <w:sz w:val="20"/>
      <w:szCs w:val="24"/>
    </w:rPr>
  </w:style>
  <w:style w:type="character" w:customStyle="1" w:styleId="32">
    <w:name w:val="文档结构图 字符"/>
    <w:basedOn w:val="19"/>
    <w:link w:val="4"/>
    <w:qFormat/>
    <w:uiPriority w:val="0"/>
    <w:rPr>
      <w:rFonts w:ascii="宋体" w:hAnsi="Times New Roman" w:eastAsia="宋体" w:cs="Times New Roman"/>
      <w:sz w:val="18"/>
      <w:szCs w:val="18"/>
    </w:rPr>
  </w:style>
  <w:style w:type="character" w:customStyle="1" w:styleId="33">
    <w:name w:val="正文文本缩进 字符"/>
    <w:basedOn w:val="19"/>
    <w:link w:val="6"/>
    <w:qFormat/>
    <w:uiPriority w:val="0"/>
    <w:rPr>
      <w:rFonts w:ascii="Times New Roman" w:hAnsi="Times New Roman" w:eastAsia="宋体" w:cs="Times New Roman"/>
      <w:szCs w:val="24"/>
    </w:rPr>
  </w:style>
  <w:style w:type="character" w:customStyle="1" w:styleId="34">
    <w:name w:val="纯文本 字符"/>
    <w:basedOn w:val="19"/>
    <w:link w:val="7"/>
    <w:qFormat/>
    <w:uiPriority w:val="0"/>
    <w:rPr>
      <w:rFonts w:ascii="宋体" w:hAnsi="Courier New" w:eastAsia="宋体" w:cs="Times New Roman"/>
      <w:szCs w:val="20"/>
    </w:rPr>
  </w:style>
  <w:style w:type="character" w:customStyle="1" w:styleId="35">
    <w:name w:val="日期 字符"/>
    <w:basedOn w:val="19"/>
    <w:link w:val="8"/>
    <w:qFormat/>
    <w:uiPriority w:val="0"/>
    <w:rPr>
      <w:rFonts w:ascii="Times New Roman" w:hAnsi="Times New Roman" w:eastAsia="宋体" w:cs="Times New Roman"/>
      <w:szCs w:val="24"/>
    </w:rPr>
  </w:style>
  <w:style w:type="character" w:customStyle="1" w:styleId="36">
    <w:name w:val="正文文本缩进 2 字符"/>
    <w:basedOn w:val="19"/>
    <w:link w:val="9"/>
    <w:qFormat/>
    <w:uiPriority w:val="0"/>
    <w:rPr>
      <w:rFonts w:ascii="宋体" w:hAnsi="宋体" w:eastAsia="宋体" w:cs="Times New Roman"/>
      <w:kern w:val="0"/>
      <w:sz w:val="28"/>
      <w:szCs w:val="24"/>
    </w:rPr>
  </w:style>
  <w:style w:type="character" w:customStyle="1" w:styleId="37">
    <w:name w:val="批注框文本 字符"/>
    <w:basedOn w:val="19"/>
    <w:link w:val="10"/>
    <w:qFormat/>
    <w:uiPriority w:val="99"/>
    <w:rPr>
      <w:rFonts w:ascii="Times New Roman" w:hAnsi="Times New Roman" w:eastAsia="宋体" w:cs="Times New Roman"/>
      <w:sz w:val="18"/>
      <w:szCs w:val="18"/>
    </w:rPr>
  </w:style>
  <w:style w:type="character" w:customStyle="1" w:styleId="38">
    <w:name w:val="脚注文本 字符"/>
    <w:basedOn w:val="19"/>
    <w:link w:val="14"/>
    <w:qFormat/>
    <w:uiPriority w:val="99"/>
    <w:rPr>
      <w:rFonts w:ascii="Times New Roman" w:hAnsi="Times New Roman" w:eastAsia="宋体" w:cs="Times New Roman"/>
      <w:sz w:val="18"/>
      <w:szCs w:val="18"/>
    </w:rPr>
  </w:style>
  <w:style w:type="paragraph" w:customStyle="1" w:styleId="39">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40">
    <w:name w:val="列出段落1"/>
    <w:basedOn w:val="1"/>
    <w:qFormat/>
    <w:uiPriority w:val="34"/>
    <w:pPr>
      <w:ind w:firstLine="420" w:firstLineChars="200"/>
    </w:pPr>
  </w:style>
  <w:style w:type="paragraph" w:customStyle="1" w:styleId="41">
    <w:name w:val="Char Char Char Char Char Char Char"/>
    <w:basedOn w:val="1"/>
    <w:qFormat/>
    <w:uiPriority w:val="0"/>
    <w:pPr>
      <w:tabs>
        <w:tab w:val="left" w:pos="360"/>
      </w:tabs>
    </w:pPr>
    <w:rPr>
      <w:sz w:val="24"/>
    </w:rPr>
  </w:style>
  <w:style w:type="paragraph" w:customStyle="1" w:styleId="42">
    <w:name w:val="列出段落11"/>
    <w:basedOn w:val="1"/>
    <w:qFormat/>
    <w:uiPriority w:val="0"/>
    <w:pPr>
      <w:snapToGrid w:val="0"/>
      <w:spacing w:before="240" w:after="240" w:line="312" w:lineRule="auto"/>
      <w:ind w:firstLine="420" w:firstLineChars="200"/>
    </w:pPr>
    <w:rPr>
      <w:sz w:val="24"/>
    </w:rPr>
  </w:style>
  <w:style w:type="paragraph" w:customStyle="1" w:styleId="43">
    <w:name w:val="Level 1"/>
    <w:basedOn w:val="1"/>
    <w:next w:val="1"/>
    <w:qFormat/>
    <w:uiPriority w:val="0"/>
    <w:pPr>
      <w:keepNext/>
      <w:widowControl/>
      <w:numPr>
        <w:ilvl w:val="0"/>
        <w:numId w:val="1"/>
      </w:numPr>
      <w:spacing w:line="360" w:lineRule="auto"/>
      <w:outlineLvl w:val="0"/>
    </w:pPr>
    <w:rPr>
      <w:rFonts w:ascii="Arial" w:hAnsi="Arial" w:eastAsia="黑体"/>
      <w:b/>
      <w:caps/>
      <w:w w:val="105"/>
      <w:kern w:val="20"/>
      <w:sz w:val="24"/>
      <w:lang w:eastAsia="en-US"/>
    </w:rPr>
  </w:style>
  <w:style w:type="paragraph" w:customStyle="1" w:styleId="44">
    <w:name w:val="Level 2"/>
    <w:basedOn w:val="1"/>
    <w:next w:val="1"/>
    <w:link w:val="55"/>
    <w:qFormat/>
    <w:uiPriority w:val="0"/>
    <w:pPr>
      <w:numPr>
        <w:ilvl w:val="1"/>
        <w:numId w:val="1"/>
      </w:numPr>
      <w:tabs>
        <w:tab w:val="left" w:pos="804"/>
      </w:tabs>
      <w:spacing w:line="360" w:lineRule="auto"/>
      <w:outlineLvl w:val="1"/>
    </w:pPr>
    <w:rPr>
      <w:rFonts w:ascii="Arial" w:hAnsi="Arial"/>
      <w:w w:val="105"/>
      <w:kern w:val="20"/>
      <w:sz w:val="24"/>
      <w:lang w:eastAsia="en-US"/>
    </w:rPr>
  </w:style>
  <w:style w:type="paragraph" w:customStyle="1" w:styleId="45">
    <w:name w:val="Level 3"/>
    <w:basedOn w:val="1"/>
    <w:qFormat/>
    <w:uiPriority w:val="0"/>
    <w:pPr>
      <w:numPr>
        <w:ilvl w:val="2"/>
        <w:numId w:val="1"/>
      </w:numPr>
      <w:tabs>
        <w:tab w:val="left" w:pos="804"/>
      </w:tabs>
      <w:spacing w:after="120" w:line="336" w:lineRule="auto"/>
      <w:outlineLvl w:val="2"/>
    </w:pPr>
    <w:rPr>
      <w:rFonts w:ascii="Arial" w:hAnsi="Arial"/>
      <w:w w:val="105"/>
      <w:kern w:val="20"/>
      <w:sz w:val="24"/>
      <w:szCs w:val="20"/>
      <w:lang w:eastAsia="en-US"/>
    </w:rPr>
  </w:style>
  <w:style w:type="paragraph" w:customStyle="1" w:styleId="46">
    <w:name w:val="Level 4"/>
    <w:basedOn w:val="1"/>
    <w:qFormat/>
    <w:uiPriority w:val="0"/>
    <w:pPr>
      <w:widowControl/>
      <w:numPr>
        <w:ilvl w:val="3"/>
        <w:numId w:val="1"/>
      </w:numPr>
      <w:tabs>
        <w:tab w:val="left" w:pos="804"/>
      </w:tabs>
      <w:spacing w:after="120" w:line="336" w:lineRule="auto"/>
      <w:outlineLvl w:val="3"/>
    </w:pPr>
    <w:rPr>
      <w:rFonts w:ascii="Arial" w:hAnsi="Arial"/>
      <w:w w:val="105"/>
      <w:kern w:val="20"/>
      <w:sz w:val="24"/>
      <w:szCs w:val="20"/>
      <w:lang w:eastAsia="en-US"/>
    </w:rPr>
  </w:style>
  <w:style w:type="paragraph" w:customStyle="1" w:styleId="47">
    <w:name w:val="Level 5"/>
    <w:basedOn w:val="46"/>
    <w:qFormat/>
    <w:uiPriority w:val="0"/>
    <w:pPr>
      <w:numPr>
        <w:numId w:val="0"/>
      </w:numPr>
      <w:outlineLvl w:val="4"/>
    </w:pPr>
  </w:style>
  <w:style w:type="paragraph" w:customStyle="1" w:styleId="48">
    <w:name w:val="Level 6"/>
    <w:basedOn w:val="47"/>
    <w:qFormat/>
    <w:uiPriority w:val="0"/>
    <w:pPr>
      <w:outlineLvl w:val="5"/>
    </w:pPr>
  </w:style>
  <w:style w:type="paragraph" w:customStyle="1" w:styleId="49">
    <w:name w:val="Level 7"/>
    <w:basedOn w:val="1"/>
    <w:qFormat/>
    <w:uiPriority w:val="0"/>
    <w:pPr>
      <w:widowControl/>
      <w:numPr>
        <w:ilvl w:val="6"/>
        <w:numId w:val="1"/>
      </w:numPr>
      <w:tabs>
        <w:tab w:val="left" w:pos="804"/>
      </w:tabs>
      <w:spacing w:after="120" w:line="336" w:lineRule="auto"/>
      <w:outlineLvl w:val="6"/>
    </w:pPr>
    <w:rPr>
      <w:rFonts w:ascii="Arial" w:hAnsi="Arial"/>
      <w:w w:val="105"/>
      <w:kern w:val="20"/>
      <w:sz w:val="24"/>
      <w:szCs w:val="20"/>
      <w:lang w:eastAsia="en-US"/>
    </w:rPr>
  </w:style>
  <w:style w:type="paragraph" w:customStyle="1" w:styleId="50">
    <w:name w:val="Level 8"/>
    <w:basedOn w:val="1"/>
    <w:qFormat/>
    <w:uiPriority w:val="0"/>
    <w:pPr>
      <w:widowControl/>
      <w:numPr>
        <w:ilvl w:val="7"/>
        <w:numId w:val="1"/>
      </w:numPr>
      <w:tabs>
        <w:tab w:val="left" w:pos="804"/>
      </w:tabs>
      <w:spacing w:after="120" w:line="336" w:lineRule="auto"/>
      <w:outlineLvl w:val="7"/>
    </w:pPr>
    <w:rPr>
      <w:rFonts w:ascii="Arial" w:hAnsi="Arial"/>
      <w:w w:val="105"/>
      <w:kern w:val="20"/>
      <w:sz w:val="24"/>
      <w:szCs w:val="20"/>
      <w:lang w:eastAsia="en-US"/>
    </w:rPr>
  </w:style>
  <w:style w:type="paragraph" w:customStyle="1" w:styleId="51">
    <w:name w:val=".."/>
    <w:basedOn w:val="39"/>
    <w:next w:val="39"/>
    <w:qFormat/>
    <w:uiPriority w:val="99"/>
    <w:pPr>
      <w:spacing w:after="140"/>
    </w:pPr>
    <w:rPr>
      <w:rFonts w:ascii="黑体" w:eastAsia="黑体" w:cs="Times New Roman"/>
      <w:color w:val="auto"/>
    </w:rPr>
  </w:style>
  <w:style w:type="paragraph" w:customStyle="1" w:styleId="52">
    <w:name w:val="Body"/>
    <w:basedOn w:val="39"/>
    <w:next w:val="39"/>
    <w:qFormat/>
    <w:uiPriority w:val="99"/>
    <w:rPr>
      <w:rFonts w:ascii="黑体" w:eastAsia="黑体" w:cs="Times New Roman"/>
      <w:color w:val="auto"/>
    </w:rPr>
  </w:style>
  <w:style w:type="paragraph" w:customStyle="1" w:styleId="53">
    <w:name w:val="修订1"/>
    <w:hidden/>
    <w:semiHidden/>
    <w:qFormat/>
    <w:uiPriority w:val="99"/>
    <w:rPr>
      <w:rFonts w:ascii="Times New Roman" w:hAnsi="Times New Roman" w:eastAsia="宋体" w:cs="Calibri"/>
      <w:kern w:val="2"/>
      <w:sz w:val="21"/>
      <w:szCs w:val="24"/>
      <w:lang w:val="en-US" w:eastAsia="zh-CN" w:bidi="ar-SA"/>
    </w:rPr>
  </w:style>
  <w:style w:type="character" w:customStyle="1" w:styleId="54">
    <w:name w:val="文档结构图 Char1"/>
    <w:semiHidden/>
    <w:qFormat/>
    <w:uiPriority w:val="99"/>
    <w:rPr>
      <w:rFonts w:ascii="宋体" w:hAnsi="Times New Roman" w:eastAsia="宋体" w:cs="Times New Roman"/>
      <w:sz w:val="18"/>
      <w:szCs w:val="18"/>
    </w:rPr>
  </w:style>
  <w:style w:type="character" w:customStyle="1" w:styleId="55">
    <w:name w:val="Level 2 Char"/>
    <w:link w:val="44"/>
    <w:qFormat/>
    <w:locked/>
    <w:uiPriority w:val="0"/>
    <w:rPr>
      <w:rFonts w:ascii="Arial" w:hAnsi="Arial" w:eastAsia="宋体" w:cs="Arial"/>
      <w:w w:val="105"/>
      <w:kern w:val="20"/>
      <w:sz w:val="24"/>
      <w:szCs w:val="24"/>
      <w:lang w:eastAsia="en-US"/>
    </w:rPr>
  </w:style>
  <w:style w:type="paragraph" w:customStyle="1" w:styleId="56">
    <w:name w:val="列出段落2"/>
    <w:basedOn w:val="1"/>
    <w:qFormat/>
    <w:uiPriority w:val="99"/>
    <w:pPr>
      <w:ind w:firstLine="420" w:firstLineChars="200"/>
    </w:pPr>
  </w:style>
  <w:style w:type="character" w:customStyle="1" w:styleId="57">
    <w:name w:val="批注文字 Char1"/>
    <w:basedOn w:val="19"/>
    <w:qFormat/>
    <w:uiPriority w:val="0"/>
    <w:rPr>
      <w:rFonts w:ascii="Times New Roman" w:hAnsi="Times New Roman" w:eastAsia="宋体" w:cs="Times New Roman"/>
      <w:szCs w:val="24"/>
    </w:rPr>
  </w:style>
  <w:style w:type="paragraph" w:styleId="58">
    <w:name w:val="List Paragraph"/>
    <w:basedOn w:val="1"/>
    <w:qFormat/>
    <w:uiPriority w:val="34"/>
    <w:pPr>
      <w:ind w:firstLine="420"/>
    </w:pPr>
  </w:style>
  <w:style w:type="paragraph" w:customStyle="1" w:styleId="59">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D15B61-4611-4E55-8A1E-1119F200BBDF}">
  <ds:schemaRefs/>
</ds:datastoreItem>
</file>

<file path=docProps/app.xml><?xml version="1.0" encoding="utf-8"?>
<Properties xmlns="http://schemas.openxmlformats.org/officeDocument/2006/extended-properties" xmlns:vt="http://schemas.openxmlformats.org/officeDocument/2006/docPropsVTypes">
  <Template>Normal</Template>
  <Company>ICBC</Company>
  <Pages>1</Pages>
  <Words>648</Words>
  <Characters>3699</Characters>
  <Lines>30</Lines>
  <Paragraphs>8</Paragraphs>
  <TotalTime>169</TotalTime>
  <ScaleCrop>false</ScaleCrop>
  <LinksUpToDate>false</LinksUpToDate>
  <CharactersWithSpaces>4339</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2020-11-23T03:05:00Z</dcterms:created>
  <dc:creator>私人银行_沈书琪</dc:creator>
  <cp:lastModifiedBy>xuyadong</cp:lastModifiedBy>
  <dcterms:modified xsi:type="dcterms:W3CDTF">2021-04-09T03:07:22Z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8AE5557C37D74D62A5066C315505FAAD</vt:lpwstr>
  </property>
</Properties>
</file>