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jc w:val="center"/>
        <w:tblBorders>
          <w:top w:val="thinThickSmallGap" w:color="auto" w:sz="24" w:space="0"/>
          <w:left w:val="none" w:color="auto" w:sz="0" w:space="0"/>
          <w:bottom w:val="thickThinSmallGap" w:color="auto" w:sz="2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736"/>
      </w:tblGrid>
      <w:tr>
        <w:tblPrEx>
          <w:tblBorders>
            <w:top w:val="thinThickSmallGap" w:color="auto" w:sz="24" w:space="0"/>
            <w:left w:val="none" w:color="auto" w:sz="0" w:space="0"/>
            <w:bottom w:val="thickThinSmallGap" w:color="auto" w:sz="2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1" w:hRule="atLeast"/>
          <w:jc w:val="center"/>
        </w:trPr>
        <w:tc>
          <w:tcPr>
            <w:tcW w:w="9736" w:type="dxa"/>
            <w:vAlign w:val="bottom"/>
          </w:tcPr>
          <w:p>
            <w:pPr>
              <w:spacing w:line="276" w:lineRule="auto"/>
              <w:jc w:val="left"/>
              <w:rPr>
                <w:rFonts w:ascii="黑体" w:hAnsi="黑体" w:eastAsia="黑体"/>
                <w:sz w:val="24"/>
                <w:szCs w:val="24"/>
              </w:rPr>
            </w:pPr>
            <w:r>
              <w:rPr>
                <w:rFonts w:hint="eastAsia" w:ascii="黑体" w:hAnsi="黑体" w:eastAsia="黑体"/>
                <w:sz w:val="32"/>
                <w:szCs w:val="32"/>
              </w:rPr>
              <w:t>香草期权</w:t>
            </w:r>
          </w:p>
        </w:tc>
      </w:tr>
      <w:tr>
        <w:tblPrEx>
          <w:tblBorders>
            <w:top w:val="thinThickSmallGap" w:color="auto" w:sz="24" w:space="0"/>
            <w:left w:val="none" w:color="auto" w:sz="0" w:space="0"/>
            <w:bottom w:val="thickThinSmallGap" w:color="auto" w:sz="2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9736" w:type="dxa"/>
          </w:tcPr>
          <w:p>
            <w:pPr>
              <w:spacing w:line="276" w:lineRule="auto"/>
              <w:jc w:val="left"/>
              <w:rPr>
                <w:rFonts w:ascii="Arial" w:hAnsi="Arial" w:eastAsia="楷体" w:cs="Arial"/>
                <w:i/>
                <w:iCs/>
                <w:sz w:val="24"/>
                <w:szCs w:val="24"/>
              </w:rPr>
            </w:pPr>
            <w:r>
              <w:rPr>
                <w:rFonts w:hint="eastAsia" w:ascii="Arial" w:hAnsi="Arial" w:eastAsia="楷体" w:cs="Arial"/>
                <w:i/>
                <w:iCs/>
                <w:sz w:val="24"/>
                <w:szCs w:val="24"/>
                <w:lang w:val="en-US" w:eastAsia="zh-CN"/>
              </w:rPr>
              <w:t xml:space="preserve">Plain </w:t>
            </w:r>
            <w:r>
              <w:rPr>
                <w:rFonts w:hint="eastAsia" w:ascii="Arial" w:hAnsi="Arial" w:eastAsia="楷体" w:cs="Arial"/>
                <w:i/>
                <w:iCs/>
                <w:sz w:val="24"/>
                <w:szCs w:val="24"/>
              </w:rPr>
              <w:t>Vanilla</w:t>
            </w:r>
            <w:r>
              <w:rPr>
                <w:rFonts w:ascii="Arial" w:hAnsi="Arial" w:eastAsia="楷体" w:cs="Arial"/>
                <w:i/>
                <w:iCs/>
                <w:sz w:val="24"/>
                <w:szCs w:val="24"/>
              </w:rPr>
              <w:t xml:space="preserve"> Options</w:t>
            </w:r>
          </w:p>
          <w:p>
            <w:pPr>
              <w:spacing w:line="276" w:lineRule="auto"/>
              <w:jc w:val="left"/>
              <w:rPr>
                <w:rFonts w:ascii="Arial" w:hAnsi="Arial" w:eastAsia="楷体" w:cs="Arial"/>
                <w:i/>
                <w:iCs/>
                <w:sz w:val="24"/>
                <w:szCs w:val="24"/>
              </w:rPr>
            </w:pPr>
          </w:p>
          <w:p>
            <w:pPr>
              <w:spacing w:line="276" w:lineRule="auto"/>
              <w:jc w:val="both"/>
              <w:rPr>
                <w:rFonts w:ascii="Arial" w:hAnsi="Arial" w:eastAsia="楷体" w:cs="Arial"/>
                <w:i/>
                <w:iCs/>
                <w:sz w:val="24"/>
                <w:szCs w:val="24"/>
              </w:rPr>
            </w:pPr>
            <w:r>
              <w:rPr>
                <w:rFonts w:hint="eastAsia" w:ascii="黑体" w:hAnsi="黑体" w:eastAsia="黑体"/>
                <w:sz w:val="28"/>
                <w:szCs w:val="28"/>
              </w:rPr>
              <w:t xml:space="preserve">场外衍生品交易确认书 </w:t>
            </w:r>
            <w:r>
              <w:rPr>
                <w:rFonts w:ascii="黑体" w:hAnsi="黑体" w:eastAsia="黑体"/>
                <w:sz w:val="28"/>
                <w:szCs w:val="28"/>
              </w:rPr>
              <w:t xml:space="preserve">                            </w:t>
            </w:r>
            <w:r>
              <w:rPr>
                <w:rFonts w:hint="eastAsia" w:ascii="楷体" w:hAnsi="楷体" w:eastAsia="楷体"/>
                <w:sz w:val="24"/>
                <w:szCs w:val="24"/>
              </w:rPr>
              <w:t>编号：【{{合同编号}}】</w:t>
            </w:r>
          </w:p>
        </w:tc>
      </w:tr>
    </w:tbl>
    <w:p>
      <w:pPr>
        <w:spacing w:line="276" w:lineRule="auto"/>
        <w:jc w:val="left"/>
        <w:rPr>
          <w:rFonts w:hint="eastAsia" w:ascii="楷体" w:hAnsi="楷体" w:eastAsia="楷体"/>
          <w:b/>
          <w:bCs/>
          <w:sz w:val="24"/>
          <w:szCs w:val="24"/>
        </w:rPr>
      </w:pPr>
    </w:p>
    <w:p>
      <w:pPr>
        <w:spacing w:line="276" w:lineRule="auto"/>
        <w:jc w:val="left"/>
        <w:rPr>
          <w:rFonts w:hint="eastAsia" w:ascii="楷体" w:hAnsi="楷体" w:eastAsia="楷体"/>
          <w:b/>
          <w:bCs/>
          <w:sz w:val="24"/>
          <w:szCs w:val="24"/>
        </w:rPr>
      </w:pPr>
    </w:p>
    <w:p>
      <w:pPr>
        <w:spacing w:line="276" w:lineRule="auto"/>
        <w:jc w:val="left"/>
        <w:rPr>
          <w:rFonts w:hint="eastAsia" w:ascii="楷体" w:hAnsi="楷体" w:eastAsia="楷体"/>
          <w:b/>
          <w:bCs/>
          <w:sz w:val="24"/>
          <w:szCs w:val="24"/>
          <w:lang w:eastAsia="zh-CN"/>
        </w:rPr>
      </w:pPr>
      <w:r>
        <w:rPr>
          <w:rFonts w:hint="eastAsia" w:ascii="楷体" w:hAnsi="楷体" w:eastAsia="楷体"/>
          <w:b/>
          <w:bCs/>
          <w:sz w:val="24"/>
          <w:szCs w:val="24"/>
        </w:rPr>
        <w:t>甲方：{{甲方}}</w:t>
      </w:r>
    </w:p>
    <w:p>
      <w:pPr>
        <w:spacing w:line="276" w:lineRule="auto"/>
        <w:jc w:val="left"/>
        <w:rPr>
          <w:rFonts w:ascii="楷体" w:hAnsi="楷体" w:eastAsia="楷体"/>
          <w:b/>
          <w:bCs/>
          <w:sz w:val="24"/>
          <w:szCs w:val="24"/>
        </w:rPr>
      </w:pPr>
      <w:r>
        <w:rPr>
          <w:rFonts w:hint="eastAsia" w:ascii="楷体" w:hAnsi="楷体" w:eastAsia="楷体"/>
          <w:b/>
          <w:bCs/>
          <w:sz w:val="24"/>
          <w:szCs w:val="24"/>
        </w:rPr>
        <w:t>乙方：{{乙方}}</w:t>
      </w:r>
    </w:p>
    <w:p>
      <w:pPr>
        <w:spacing w:line="276" w:lineRule="auto"/>
        <w:jc w:val="left"/>
        <w:rPr>
          <w:rFonts w:ascii="楷体" w:hAnsi="楷体" w:eastAsia="楷体"/>
          <w:sz w:val="24"/>
          <w:szCs w:val="24"/>
        </w:rPr>
      </w:pPr>
    </w:p>
    <w:p>
      <w:pPr>
        <w:spacing w:line="276" w:lineRule="auto"/>
        <w:ind w:firstLine="420"/>
        <w:rPr>
          <w:rFonts w:ascii="楷体" w:hAnsi="楷体" w:eastAsia="楷体"/>
          <w:sz w:val="24"/>
          <w:szCs w:val="24"/>
        </w:rPr>
      </w:pPr>
      <w:r>
        <w:rPr>
          <w:rFonts w:ascii="楷体" w:hAnsi="楷体" w:eastAsia="楷体"/>
          <w:sz w:val="24"/>
          <w:szCs w:val="24"/>
        </w:rPr>
        <w:t>为确认甲乙双方在下文指明的日期达成的特定场外衍生品交易适用的条款和条件，交易双方特签署本《场外衍生品交易确认书》（以下简称“交易确认书”）。</w:t>
      </w:r>
    </w:p>
    <w:p>
      <w:pPr>
        <w:spacing w:line="276" w:lineRule="auto"/>
        <w:rPr>
          <w:rFonts w:ascii="楷体" w:hAnsi="楷体" w:eastAsia="楷体"/>
          <w:sz w:val="24"/>
          <w:szCs w:val="24"/>
        </w:rPr>
      </w:pPr>
    </w:p>
    <w:p>
      <w:pPr>
        <w:spacing w:line="276" w:lineRule="auto"/>
        <w:ind w:firstLine="420"/>
        <w:rPr>
          <w:rFonts w:hint="eastAsia" w:ascii="楷体" w:hAnsi="楷体" w:eastAsia="楷体"/>
          <w:sz w:val="24"/>
          <w:szCs w:val="24"/>
        </w:rPr>
      </w:pPr>
      <w:r>
        <w:rPr>
          <w:rFonts w:hint="eastAsia" w:ascii="楷体" w:hAnsi="楷体" w:eastAsia="楷体"/>
          <w:sz w:val="24"/>
          <w:szCs w:val="24"/>
        </w:rPr>
        <w:t>本交易确认书适用于甲乙双方已签署的《中国证券期货市场衍生品交易主协议》（以下简称“《主协议》”）、《中国证券期货市场衍生品交易主协议补充协议》（以下简称“《补充协议》”）和《场外衍生品交易履约保障协议》（以下简称“《履约保障协议》”，并与《主协议》和《补充协议》一并统称“《SAC主补协议》”），构成《主协议》所称的“交易确认书”,并与已签署的《SAC主补协议》（编号：【{{合同编号}}】）共同构成甲乙双方之间针对本交易确认书项下一笔或多笔场外衍生品交易的单一和完整的交易协议。</w:t>
      </w:r>
    </w:p>
    <w:p>
      <w:pPr>
        <w:spacing w:line="276" w:lineRule="auto"/>
        <w:ind w:firstLine="420"/>
        <w:rPr>
          <w:rFonts w:hint="eastAsia" w:ascii="楷体" w:hAnsi="楷体" w:eastAsia="楷体"/>
          <w:sz w:val="24"/>
          <w:szCs w:val="24"/>
        </w:rPr>
      </w:pPr>
    </w:p>
    <w:p>
      <w:pPr>
        <w:spacing w:line="276" w:lineRule="auto"/>
        <w:ind w:firstLine="420"/>
        <w:rPr>
          <w:rFonts w:ascii="楷体" w:hAnsi="楷体" w:eastAsia="楷体"/>
          <w:sz w:val="24"/>
          <w:szCs w:val="24"/>
        </w:rPr>
      </w:pPr>
      <w:r>
        <w:rPr>
          <w:rFonts w:hint="eastAsia" w:ascii="楷体" w:hAnsi="楷体" w:eastAsia="楷体"/>
          <w:sz w:val="24"/>
          <w:szCs w:val="24"/>
        </w:rPr>
        <w:t>本交易确认书是对《</w:t>
      </w:r>
      <w:r>
        <w:rPr>
          <w:rFonts w:ascii="楷体" w:hAnsi="楷体" w:eastAsia="楷体"/>
          <w:sz w:val="24"/>
          <w:szCs w:val="24"/>
        </w:rPr>
        <w:t>SAC主补协议》的补充，除非另有约定，本交易确认书中一项定义的含义与《SAC主补协议》中相同定义的含义相同。当本交易确认书与《SAC主补协议》有冲突时，以本交易确认书为准。本交易确认书中未做约定的事项应遵从《SAC主补协议》中的约定。</w:t>
      </w:r>
    </w:p>
    <w:p>
      <w:pPr>
        <w:spacing w:line="276" w:lineRule="auto"/>
        <w:ind w:firstLine="420"/>
        <w:rPr>
          <w:rFonts w:ascii="楷体" w:hAnsi="楷体" w:eastAsia="楷体"/>
          <w:sz w:val="24"/>
          <w:szCs w:val="24"/>
        </w:rPr>
      </w:pPr>
    </w:p>
    <w:p>
      <w:pPr>
        <w:spacing w:line="276" w:lineRule="auto"/>
        <w:ind w:firstLine="420"/>
        <w:rPr>
          <w:rFonts w:ascii="楷体" w:hAnsi="楷体" w:eastAsia="楷体"/>
          <w:sz w:val="24"/>
          <w:szCs w:val="24"/>
        </w:rPr>
        <w:sectPr>
          <w:headerReference r:id="rId5" w:type="first"/>
          <w:headerReference r:id="rId3" w:type="default"/>
          <w:footerReference r:id="rId6" w:type="default"/>
          <w:headerReference r:id="rId4" w:type="even"/>
          <w:pgSz w:w="11906" w:h="16838"/>
          <w:pgMar w:top="1440" w:right="1080" w:bottom="1440" w:left="1080" w:header="851" w:footer="992" w:gutter="0"/>
          <w:cols w:space="425" w:num="1"/>
          <w:docGrid w:type="lines" w:linePitch="312" w:charSpace="0"/>
        </w:sectPr>
      </w:pPr>
      <w:r>
        <w:rPr>
          <w:rFonts w:hint="eastAsia" w:ascii="楷体" w:hAnsi="楷体" w:eastAsia="楷体"/>
          <w:sz w:val="24"/>
          <w:szCs w:val="24"/>
        </w:rPr>
        <w:t>本交易确认书一式贰份，甲乙双方各执壹份，扫描件和传真件与原件具有同等法律效力。本交易确认书是对双方在电子邮件或录音电话中已达成的场外衍生品交易的书面确认，经甲方法定代表人或授权代表签字并加盖公章或合同专用章后生效。乙方未签署本交易确认书的，并不影响交易的达成和生效。</w:t>
      </w:r>
    </w:p>
    <w:tbl>
      <w:tblPr>
        <w:tblStyle w:val="7"/>
        <w:tblW w:w="15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787"/>
        <w:gridCol w:w="1463"/>
        <w:gridCol w:w="1460"/>
        <w:gridCol w:w="1180"/>
        <w:gridCol w:w="1500"/>
        <w:gridCol w:w="1270"/>
        <w:gridCol w:w="1540"/>
        <w:gridCol w:w="1080"/>
        <w:gridCol w:w="1260"/>
        <w:gridCol w:w="1460"/>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736" w:type="dxa"/>
            <w:gridSpan w:val="12"/>
            <w:tcBorders>
              <w:top w:val="single" w:color="auto" w:sz="12" w:space="0"/>
              <w:left w:val="nil"/>
              <w:bottom w:val="single" w:color="auto" w:sz="12" w:space="0"/>
              <w:right w:val="nil"/>
            </w:tcBorders>
            <w:shd w:val="clear" w:color="auto" w:fill="D7D7D7" w:themeFill="background1" w:themeFillShade="D8"/>
            <w:vAlign w:val="center"/>
          </w:tcPr>
          <w:p>
            <w:pPr>
              <w:pStyle w:val="10"/>
              <w:numPr>
                <w:ilvl w:val="0"/>
                <w:numId w:val="1"/>
              </w:numPr>
              <w:spacing w:line="276" w:lineRule="auto"/>
              <w:ind w:firstLineChars="0"/>
              <w:rPr>
                <w:rFonts w:ascii="黑体" w:hAnsi="黑体" w:eastAsia="黑体"/>
                <w:sz w:val="22"/>
              </w:rPr>
            </w:pPr>
            <w:r>
              <w:rPr>
                <w:rFonts w:hint="eastAsia" w:ascii="黑体" w:hAnsi="黑体" w:eastAsia="黑体"/>
                <w:sz w:val="24"/>
                <w:szCs w:val="24"/>
              </w:rPr>
              <w:t>交易要素明细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15736" w:type="dxa"/>
            <w:gridSpan w:val="12"/>
            <w:tcBorders>
              <w:top w:val="single" w:color="auto" w:sz="12" w:space="0"/>
              <w:left w:val="nil"/>
              <w:bottom w:val="single" w:color="auto" w:sz="4" w:space="0"/>
              <w:right w:val="nil"/>
            </w:tcBorders>
            <w:vAlign w:val="center"/>
          </w:tcPr>
          <w:p>
            <w:pPr>
              <w:spacing w:line="276" w:lineRule="auto"/>
              <w:rPr>
                <w:rFonts w:ascii="楷体" w:hAnsi="楷体" w:eastAsia="楷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jc w:val="center"/>
        </w:trPr>
        <w:tc>
          <w:tcPr>
            <w:tcW w:w="1198" w:type="dxa"/>
            <w:shd w:val="clear" w:color="auto" w:fill="D8D8D8" w:themeFill="background1" w:themeFillShade="D9"/>
            <w:vAlign w:val="center"/>
          </w:tcPr>
          <w:p>
            <w:pPr>
              <w:spacing w:line="0" w:lineRule="atLeast"/>
              <w:jc w:val="center"/>
              <w:rPr>
                <w:rFonts w:ascii="黑体" w:hAnsi="黑体" w:eastAsia="黑体"/>
                <w:sz w:val="18"/>
                <w:szCs w:val="18"/>
              </w:rPr>
            </w:pPr>
            <w:r>
              <w:rPr>
                <w:rFonts w:hint="eastAsia" w:ascii="黑体" w:hAnsi="黑体" w:eastAsia="黑体"/>
                <w:sz w:val="18"/>
                <w:szCs w:val="18"/>
              </w:rPr>
              <w:t>交易编号</w:t>
            </w:r>
          </w:p>
        </w:tc>
        <w:tc>
          <w:tcPr>
            <w:tcW w:w="787" w:type="dxa"/>
            <w:shd w:val="clear" w:color="auto" w:fill="D8D8D8" w:themeFill="background1" w:themeFillShade="D9"/>
            <w:vAlign w:val="center"/>
          </w:tcPr>
          <w:p>
            <w:pPr>
              <w:spacing w:line="0" w:lineRule="atLeast"/>
              <w:jc w:val="center"/>
              <w:rPr>
                <w:rFonts w:ascii="黑体" w:hAnsi="黑体" w:eastAsia="黑体"/>
                <w:sz w:val="18"/>
                <w:szCs w:val="18"/>
              </w:rPr>
            </w:pPr>
            <w:r>
              <w:rPr>
                <w:rFonts w:hint="eastAsia" w:ascii="黑体" w:hAnsi="黑体" w:eastAsia="黑体"/>
                <w:sz w:val="18"/>
                <w:szCs w:val="18"/>
              </w:rPr>
              <w:t>买方</w:t>
            </w:r>
          </w:p>
        </w:tc>
        <w:tc>
          <w:tcPr>
            <w:tcW w:w="1463" w:type="dxa"/>
            <w:shd w:val="clear" w:color="auto" w:fill="D8D8D8" w:themeFill="background1" w:themeFillShade="D9"/>
            <w:vAlign w:val="center"/>
          </w:tcPr>
          <w:p>
            <w:pPr>
              <w:spacing w:line="0" w:lineRule="atLeast"/>
              <w:jc w:val="center"/>
              <w:rPr>
                <w:rFonts w:hint="eastAsia" w:ascii="黑体" w:hAnsi="黑体" w:eastAsia="黑体"/>
                <w:sz w:val="18"/>
                <w:szCs w:val="18"/>
              </w:rPr>
            </w:pPr>
            <w:r>
              <w:rPr>
                <w:rFonts w:hint="eastAsia" w:ascii="黑体" w:hAnsi="黑体" w:eastAsia="黑体"/>
                <w:sz w:val="18"/>
                <w:szCs w:val="18"/>
              </w:rPr>
              <w:t>交易达成</w:t>
            </w:r>
          </w:p>
          <w:p>
            <w:pPr>
              <w:spacing w:line="0" w:lineRule="atLeast"/>
              <w:jc w:val="center"/>
              <w:rPr>
                <w:rFonts w:ascii="黑体" w:hAnsi="黑体" w:eastAsia="黑体"/>
                <w:sz w:val="18"/>
                <w:szCs w:val="18"/>
              </w:rPr>
            </w:pPr>
            <w:r>
              <w:rPr>
                <w:rFonts w:hint="eastAsia" w:ascii="黑体" w:hAnsi="黑体" w:eastAsia="黑体"/>
                <w:sz w:val="18"/>
                <w:szCs w:val="18"/>
              </w:rPr>
              <w:t>日</w:t>
            </w:r>
          </w:p>
        </w:tc>
        <w:tc>
          <w:tcPr>
            <w:tcW w:w="1460" w:type="dxa"/>
            <w:shd w:val="clear" w:color="auto" w:fill="D8D8D8" w:themeFill="background1" w:themeFillShade="D9"/>
            <w:vAlign w:val="center"/>
          </w:tcPr>
          <w:p>
            <w:pPr>
              <w:spacing w:line="0" w:lineRule="atLeast"/>
              <w:jc w:val="center"/>
              <w:rPr>
                <w:rFonts w:hint="eastAsia" w:ascii="黑体" w:hAnsi="黑体" w:eastAsia="黑体"/>
                <w:sz w:val="18"/>
                <w:szCs w:val="18"/>
              </w:rPr>
            </w:pPr>
            <w:r>
              <w:rPr>
                <w:rFonts w:hint="eastAsia" w:ascii="黑体" w:hAnsi="黑体" w:eastAsia="黑体"/>
                <w:sz w:val="18"/>
                <w:szCs w:val="18"/>
              </w:rPr>
              <w:t>起始日</w:t>
            </w:r>
          </w:p>
          <w:p>
            <w:pPr>
              <w:spacing w:line="0" w:lineRule="atLeast"/>
              <w:jc w:val="center"/>
              <w:rPr>
                <w:rFonts w:hint="eastAsia" w:ascii="黑体" w:hAnsi="黑体" w:eastAsia="黑体"/>
                <w:sz w:val="18"/>
                <w:szCs w:val="18"/>
                <w:lang w:val="en-US" w:eastAsia="zh-CN"/>
              </w:rPr>
            </w:pPr>
            <w:r>
              <w:rPr>
                <w:rFonts w:hint="eastAsia" w:ascii="黑体" w:hAnsi="黑体" w:eastAsia="黑体"/>
                <w:sz w:val="18"/>
                <w:szCs w:val="18"/>
                <w:lang w:val="en-US" w:eastAsia="zh-CN"/>
              </w:rPr>
              <w:t>-</w:t>
            </w:r>
          </w:p>
          <w:p>
            <w:pPr>
              <w:spacing w:line="0" w:lineRule="atLeast"/>
              <w:jc w:val="center"/>
              <w:rPr>
                <w:rFonts w:hint="default" w:ascii="黑体" w:hAnsi="黑体" w:eastAsia="黑体"/>
                <w:sz w:val="18"/>
                <w:szCs w:val="18"/>
                <w:lang w:val="en-US" w:eastAsia="zh-CN"/>
              </w:rPr>
            </w:pPr>
            <w:r>
              <w:rPr>
                <w:rFonts w:hint="eastAsia" w:ascii="黑体" w:hAnsi="黑体" w:eastAsia="黑体"/>
                <w:sz w:val="18"/>
                <w:szCs w:val="18"/>
                <w:lang w:val="en-US" w:eastAsia="zh-CN"/>
              </w:rPr>
              <w:t>到期日</w:t>
            </w:r>
          </w:p>
        </w:tc>
        <w:tc>
          <w:tcPr>
            <w:tcW w:w="1180" w:type="dxa"/>
            <w:shd w:val="clear" w:color="auto" w:fill="D8D8D8" w:themeFill="background1" w:themeFillShade="D9"/>
            <w:vAlign w:val="center"/>
          </w:tcPr>
          <w:p>
            <w:pPr>
              <w:spacing w:line="0" w:lineRule="atLeast"/>
              <w:jc w:val="center"/>
              <w:rPr>
                <w:rFonts w:ascii="黑体" w:hAnsi="黑体" w:eastAsia="黑体"/>
                <w:sz w:val="18"/>
                <w:szCs w:val="18"/>
              </w:rPr>
            </w:pPr>
            <w:r>
              <w:rPr>
                <w:rFonts w:hint="eastAsia" w:ascii="黑体" w:hAnsi="黑体" w:eastAsia="黑体"/>
                <w:sz w:val="18"/>
                <w:szCs w:val="18"/>
              </w:rPr>
              <w:t>名义金额</w:t>
            </w:r>
          </w:p>
        </w:tc>
        <w:tc>
          <w:tcPr>
            <w:tcW w:w="1500" w:type="dxa"/>
            <w:shd w:val="clear" w:color="auto" w:fill="D8D8D8" w:themeFill="background1" w:themeFillShade="D9"/>
            <w:vAlign w:val="center"/>
          </w:tcPr>
          <w:p>
            <w:pPr>
              <w:spacing w:line="0" w:lineRule="atLeast"/>
              <w:jc w:val="center"/>
              <w:rPr>
                <w:rFonts w:ascii="黑体" w:hAnsi="黑体" w:eastAsia="黑体"/>
                <w:sz w:val="18"/>
                <w:szCs w:val="18"/>
              </w:rPr>
            </w:pPr>
            <w:r>
              <w:rPr>
                <w:rFonts w:hint="eastAsia" w:ascii="黑体" w:hAnsi="黑体" w:eastAsia="黑体"/>
                <w:sz w:val="18"/>
                <w:szCs w:val="18"/>
                <w:lang w:val="en-US" w:eastAsia="zh-CN"/>
              </w:rPr>
              <w:t>标的资产</w:t>
            </w:r>
          </w:p>
        </w:tc>
        <w:tc>
          <w:tcPr>
            <w:tcW w:w="1270" w:type="dxa"/>
            <w:shd w:val="clear" w:color="auto" w:fill="D8D8D8" w:themeFill="background1" w:themeFillShade="D9"/>
            <w:vAlign w:val="center"/>
          </w:tcPr>
          <w:p>
            <w:pPr>
              <w:spacing w:line="0" w:lineRule="atLeast"/>
              <w:jc w:val="center"/>
              <w:rPr>
                <w:rFonts w:ascii="黑体" w:hAnsi="黑体" w:eastAsia="黑体"/>
                <w:sz w:val="18"/>
                <w:szCs w:val="18"/>
              </w:rPr>
            </w:pPr>
            <w:r>
              <w:rPr>
                <w:rFonts w:hint="eastAsia" w:ascii="黑体" w:hAnsi="黑体" w:eastAsia="黑体"/>
                <w:sz w:val="18"/>
                <w:szCs w:val="18"/>
                <w:lang w:val="en-US" w:eastAsia="zh-CN"/>
              </w:rPr>
              <w:t>期初价格</w:t>
            </w:r>
          </w:p>
        </w:tc>
        <w:tc>
          <w:tcPr>
            <w:tcW w:w="1540" w:type="dxa"/>
            <w:shd w:val="clear" w:color="auto" w:fill="D8D8D8" w:themeFill="background1" w:themeFillShade="D9"/>
            <w:vAlign w:val="center"/>
          </w:tcPr>
          <w:p>
            <w:pPr>
              <w:spacing w:line="0" w:lineRule="atLeast"/>
              <w:jc w:val="center"/>
              <w:rPr>
                <w:rFonts w:hint="eastAsia" w:ascii="黑体" w:hAnsi="黑体" w:eastAsia="黑体"/>
                <w:sz w:val="18"/>
                <w:szCs w:val="18"/>
              </w:rPr>
            </w:pPr>
            <w:r>
              <w:rPr>
                <w:rFonts w:hint="eastAsia" w:ascii="黑体" w:hAnsi="黑体" w:eastAsia="黑体"/>
                <w:sz w:val="18"/>
                <w:szCs w:val="18"/>
              </w:rPr>
              <w:t>执行价格</w:t>
            </w:r>
          </w:p>
          <w:p>
            <w:pPr>
              <w:spacing w:line="0" w:lineRule="atLeast"/>
              <w:jc w:val="center"/>
              <w:rPr>
                <w:rFonts w:ascii="黑体" w:hAnsi="黑体" w:eastAsia="黑体"/>
                <w:sz w:val="18"/>
                <w:szCs w:val="18"/>
              </w:rPr>
            </w:pPr>
            <w:r>
              <w:rPr>
                <w:rFonts w:hint="eastAsia" w:ascii="黑体" w:hAnsi="黑体" w:eastAsia="黑体"/>
                <w:sz w:val="18"/>
                <w:szCs w:val="18"/>
              </w:rPr>
              <w:t>（K）</w:t>
            </w:r>
          </w:p>
        </w:tc>
        <w:tc>
          <w:tcPr>
            <w:tcW w:w="1080" w:type="dxa"/>
            <w:shd w:val="clear" w:color="auto" w:fill="D8D8D8" w:themeFill="background1" w:themeFillShade="D9"/>
            <w:vAlign w:val="center"/>
          </w:tcPr>
          <w:p>
            <w:pPr>
              <w:spacing w:line="0" w:lineRule="atLeast"/>
              <w:jc w:val="center"/>
              <w:rPr>
                <w:rFonts w:ascii="黑体" w:hAnsi="黑体" w:eastAsia="黑体"/>
                <w:sz w:val="18"/>
                <w:szCs w:val="18"/>
              </w:rPr>
            </w:pPr>
            <w:r>
              <w:rPr>
                <w:rFonts w:hint="eastAsia" w:ascii="黑体" w:hAnsi="黑体" w:eastAsia="黑体"/>
                <w:sz w:val="18"/>
                <w:szCs w:val="18"/>
              </w:rPr>
              <w:t>行权方式</w:t>
            </w:r>
          </w:p>
        </w:tc>
        <w:tc>
          <w:tcPr>
            <w:tcW w:w="1260" w:type="dxa"/>
            <w:shd w:val="clear" w:color="auto" w:fill="D8D8D8" w:themeFill="background1" w:themeFillShade="D9"/>
            <w:vAlign w:val="center"/>
          </w:tcPr>
          <w:p>
            <w:pPr>
              <w:spacing w:line="0" w:lineRule="atLeast"/>
              <w:jc w:val="center"/>
              <w:rPr>
                <w:rFonts w:ascii="黑体" w:hAnsi="黑体" w:eastAsia="黑体"/>
                <w:sz w:val="18"/>
                <w:szCs w:val="18"/>
              </w:rPr>
            </w:pPr>
            <w:r>
              <w:rPr>
                <w:rFonts w:hint="eastAsia" w:ascii="黑体" w:hAnsi="黑体" w:eastAsia="黑体"/>
                <w:sz w:val="18"/>
                <w:szCs w:val="18"/>
              </w:rPr>
              <w:t>交易方向</w:t>
            </w:r>
          </w:p>
        </w:tc>
        <w:tc>
          <w:tcPr>
            <w:tcW w:w="1460" w:type="dxa"/>
            <w:shd w:val="clear" w:color="auto" w:fill="D8D8D8" w:themeFill="background1" w:themeFillShade="D9"/>
            <w:vAlign w:val="center"/>
          </w:tcPr>
          <w:p>
            <w:pPr>
              <w:spacing w:line="0" w:lineRule="atLeast"/>
              <w:jc w:val="center"/>
              <w:rPr>
                <w:rFonts w:ascii="黑体" w:hAnsi="黑体" w:eastAsia="黑体"/>
                <w:sz w:val="18"/>
                <w:szCs w:val="18"/>
              </w:rPr>
            </w:pPr>
            <w:r>
              <w:rPr>
                <w:rFonts w:hint="eastAsia" w:ascii="黑体" w:hAnsi="黑体" w:eastAsia="黑体"/>
                <w:sz w:val="18"/>
                <w:szCs w:val="18"/>
              </w:rPr>
              <w:t>期权费率</w:t>
            </w:r>
          </w:p>
        </w:tc>
        <w:tc>
          <w:tcPr>
            <w:tcW w:w="1538" w:type="dxa"/>
            <w:shd w:val="clear" w:color="auto" w:fill="D8D8D8" w:themeFill="background1" w:themeFillShade="D9"/>
            <w:vAlign w:val="center"/>
          </w:tcPr>
          <w:p>
            <w:pPr>
              <w:spacing w:line="0" w:lineRule="atLeast"/>
              <w:jc w:val="center"/>
              <w:rPr>
                <w:rFonts w:hint="eastAsia" w:ascii="黑体" w:hAnsi="黑体" w:eastAsia="黑体"/>
                <w:sz w:val="18"/>
                <w:szCs w:val="18"/>
                <w:lang w:eastAsia="zh-CN"/>
              </w:rPr>
            </w:pPr>
            <w:r>
              <w:rPr>
                <w:rFonts w:hint="eastAsia" w:ascii="黑体" w:hAnsi="黑体" w:eastAsia="黑体"/>
                <w:sz w:val="18"/>
                <w:szCs w:val="18"/>
              </w:rPr>
              <w:t>初始合格履约保障品金额</w:t>
            </w:r>
            <w:r>
              <w:rPr>
                <w:rFonts w:hint="eastAsia" w:ascii="黑体" w:hAnsi="黑体" w:eastAsia="黑体"/>
                <w:sz w:val="18"/>
                <w:szCs w:val="18"/>
                <w:lang w:eastAsia="zh-CN"/>
              </w:rPr>
              <w:t>（</w:t>
            </w:r>
            <w:r>
              <w:rPr>
                <w:rFonts w:ascii="楷体" w:hAnsi="楷体" w:eastAsia="楷体"/>
                <w:sz w:val="22"/>
              </w:rPr>
              <w:t>φ</w:t>
            </w:r>
            <w:r>
              <w:rPr>
                <w:rFonts w:hint="eastAsia" w:ascii="黑体" w:hAnsi="黑体" w:eastAsia="黑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jc w:val="center"/>
        </w:trPr>
        <w:tc>
          <w:tcPr>
            <w:tcW w:w="1198" w:type="dxa"/>
            <w:vAlign w:val="center"/>
          </w:tcPr>
          <w:p>
            <w:pPr>
              <w:spacing w:line="0" w:lineRule="atLeast"/>
              <w:jc w:val="center"/>
              <w:rPr>
                <w:rFonts w:ascii="楷体" w:hAnsi="楷体" w:eastAsia="楷体"/>
                <w:sz w:val="18"/>
                <w:szCs w:val="18"/>
              </w:rPr>
            </w:pPr>
            <w:r>
              <w:rPr>
                <w:rFonts w:hint="eastAsia" w:ascii="楷体" w:hAnsi="楷体" w:eastAsia="楷体"/>
                <w:sz w:val="16"/>
                <w:szCs w:val="16"/>
                <w:lang w:val="en-US"/>
              </w:rPr>
              <w:t>{{table1.交易编号}}</w:t>
            </w:r>
          </w:p>
        </w:tc>
        <w:tc>
          <w:tcPr>
            <w:tcW w:w="787" w:type="dxa"/>
            <w:vAlign w:val="center"/>
          </w:tcPr>
          <w:p>
            <w:pPr>
              <w:spacing w:line="0" w:lineRule="atLeast"/>
              <w:jc w:val="center"/>
              <w:rPr>
                <w:rFonts w:ascii="楷体" w:hAnsi="楷体" w:eastAsia="楷体"/>
                <w:sz w:val="18"/>
                <w:szCs w:val="18"/>
              </w:rPr>
            </w:pPr>
            <w:r>
              <w:rPr>
                <w:rFonts w:hint="eastAsia" w:ascii="楷体" w:hAnsi="楷体" w:eastAsia="楷体"/>
                <w:sz w:val="16"/>
                <w:szCs w:val="16"/>
                <w:lang w:val="en-US"/>
              </w:rPr>
              <w:t>{{table1.买方}}</w:t>
            </w:r>
          </w:p>
        </w:tc>
        <w:tc>
          <w:tcPr>
            <w:tcW w:w="1463" w:type="dxa"/>
            <w:vAlign w:val="center"/>
          </w:tcPr>
          <w:p>
            <w:pPr>
              <w:spacing w:line="0" w:lineRule="atLeast"/>
              <w:jc w:val="center"/>
              <w:rPr>
                <w:rFonts w:ascii="楷体" w:hAnsi="楷体" w:eastAsia="楷体"/>
                <w:sz w:val="18"/>
                <w:szCs w:val="18"/>
              </w:rPr>
            </w:pPr>
            <w:r>
              <w:rPr>
                <w:rFonts w:hint="eastAsia" w:ascii="楷体" w:hAnsi="楷体" w:eastAsia="楷体"/>
                <w:sz w:val="16"/>
                <w:szCs w:val="16"/>
                <w:lang w:val="en-US"/>
              </w:rPr>
              <w:t>{{table1.交易达成日}}</w:t>
            </w:r>
          </w:p>
        </w:tc>
        <w:tc>
          <w:tcPr>
            <w:tcW w:w="1460" w:type="dxa"/>
            <w:vAlign w:val="center"/>
          </w:tcPr>
          <w:p>
            <w:pPr>
              <w:spacing w:line="0" w:lineRule="atLeast"/>
              <w:jc w:val="center"/>
              <w:rPr>
                <w:rFonts w:hint="eastAsia" w:ascii="楷体" w:hAnsi="楷体" w:eastAsia="楷体"/>
                <w:sz w:val="16"/>
                <w:szCs w:val="16"/>
                <w:lang w:val="en-US" w:eastAsia="zh-CN"/>
              </w:rPr>
            </w:pPr>
            <w:r>
              <w:rPr>
                <w:rFonts w:hint="eastAsia" w:ascii="楷体" w:hAnsi="楷体" w:eastAsia="楷体"/>
                <w:sz w:val="16"/>
                <w:szCs w:val="16"/>
                <w:lang w:val="en-US"/>
              </w:rPr>
              <w:t>{{table1.开始日期}}</w:t>
            </w:r>
            <w:r>
              <w:rPr>
                <w:rFonts w:hint="eastAsia" w:ascii="楷体" w:hAnsi="楷体" w:eastAsia="楷体"/>
                <w:sz w:val="16"/>
                <w:szCs w:val="16"/>
                <w:lang w:val="en-US" w:eastAsia="zh-CN"/>
              </w:rPr>
              <w:t>-</w:t>
            </w:r>
          </w:p>
          <w:p>
            <w:pPr>
              <w:spacing w:line="0" w:lineRule="atLeast"/>
              <w:jc w:val="center"/>
              <w:rPr>
                <w:rFonts w:hint="eastAsia" w:ascii="楷体" w:hAnsi="楷体" w:eastAsia="楷体"/>
                <w:sz w:val="18"/>
                <w:szCs w:val="18"/>
                <w:lang w:val="en-US" w:eastAsia="zh-CN"/>
              </w:rPr>
            </w:pPr>
            <w:r>
              <w:rPr>
                <w:rFonts w:hint="eastAsia" w:ascii="楷体" w:hAnsi="楷体" w:eastAsia="楷体"/>
                <w:sz w:val="16"/>
                <w:szCs w:val="16"/>
                <w:lang w:val="en-US"/>
              </w:rPr>
              <w:t>{{table1.到期日期}}</w:t>
            </w:r>
          </w:p>
        </w:tc>
        <w:tc>
          <w:tcPr>
            <w:tcW w:w="1180" w:type="dxa"/>
            <w:vAlign w:val="center"/>
          </w:tcPr>
          <w:p>
            <w:pPr>
              <w:spacing w:line="0" w:lineRule="atLeast"/>
              <w:jc w:val="center"/>
              <w:rPr>
                <w:rFonts w:ascii="楷体" w:hAnsi="楷体" w:eastAsia="楷体"/>
                <w:sz w:val="18"/>
                <w:szCs w:val="18"/>
              </w:rPr>
            </w:pPr>
            <w:r>
              <w:rPr>
                <w:rFonts w:hint="eastAsia" w:ascii="楷体" w:hAnsi="楷体" w:eastAsia="楷体"/>
                <w:sz w:val="16"/>
                <w:szCs w:val="16"/>
                <w:lang w:val="en-US"/>
              </w:rPr>
              <w:t>{{table1.名义本金}}</w:t>
            </w:r>
          </w:p>
        </w:tc>
        <w:tc>
          <w:tcPr>
            <w:tcW w:w="1500" w:type="dxa"/>
            <w:vAlign w:val="center"/>
          </w:tcPr>
          <w:p>
            <w:pPr>
              <w:spacing w:line="0" w:lineRule="atLeast"/>
              <w:jc w:val="center"/>
              <w:rPr>
                <w:rFonts w:ascii="楷体" w:hAnsi="楷体" w:eastAsia="楷体"/>
                <w:sz w:val="16"/>
                <w:szCs w:val="16"/>
                <w:lang w:val="en-US"/>
              </w:rPr>
            </w:pPr>
            <w:r>
              <w:rPr>
                <w:rFonts w:hint="eastAsia" w:ascii="楷体" w:hAnsi="楷体" w:eastAsia="楷体"/>
                <w:sz w:val="16"/>
                <w:szCs w:val="16"/>
                <w:lang w:val="en-US" w:eastAsia="zh-CN"/>
              </w:rPr>
              <w:t>{</w:t>
            </w:r>
            <w:r>
              <w:rPr>
                <w:rFonts w:hint="eastAsia" w:ascii="楷体" w:hAnsi="楷体" w:eastAsia="楷体"/>
                <w:sz w:val="16"/>
                <w:szCs w:val="16"/>
                <w:lang w:val="en-US"/>
              </w:rPr>
              <w:t>{table1.标的代码}}</w:t>
            </w:r>
          </w:p>
          <w:p>
            <w:pPr>
              <w:spacing w:line="0" w:lineRule="atLeast"/>
              <w:jc w:val="center"/>
              <w:rPr>
                <w:rFonts w:hint="eastAsia" w:ascii="楷体" w:hAnsi="楷体" w:eastAsia="楷体"/>
                <w:sz w:val="16"/>
                <w:szCs w:val="16"/>
                <w:lang w:val="en-US"/>
              </w:rPr>
            </w:pPr>
            <w:r>
              <w:rPr>
                <w:rFonts w:hint="eastAsia" w:ascii="楷体" w:hAnsi="楷体" w:eastAsia="楷体"/>
                <w:sz w:val="16"/>
                <w:szCs w:val="16"/>
                <w:lang w:val="en-US"/>
              </w:rPr>
              <w:t>{{table1.标的名称}}</w:t>
            </w:r>
          </w:p>
        </w:tc>
        <w:tc>
          <w:tcPr>
            <w:tcW w:w="1270" w:type="dxa"/>
            <w:vAlign w:val="center"/>
          </w:tcPr>
          <w:p>
            <w:pPr>
              <w:spacing w:line="0" w:lineRule="atLeast"/>
              <w:jc w:val="center"/>
              <w:rPr>
                <w:rFonts w:ascii="楷体" w:hAnsi="楷体" w:eastAsia="楷体"/>
                <w:sz w:val="18"/>
                <w:szCs w:val="18"/>
              </w:rPr>
            </w:pPr>
            <w:r>
              <w:rPr>
                <w:rFonts w:hint="eastAsia" w:ascii="楷体" w:hAnsi="楷体" w:eastAsia="楷体"/>
                <w:sz w:val="16"/>
                <w:szCs w:val="16"/>
                <w:lang w:val="en-US"/>
              </w:rPr>
              <w:t>{{table1.期初价格}}</w:t>
            </w:r>
          </w:p>
        </w:tc>
        <w:tc>
          <w:tcPr>
            <w:tcW w:w="1540" w:type="dxa"/>
            <w:vAlign w:val="center"/>
          </w:tcPr>
          <w:p>
            <w:pPr>
              <w:spacing w:line="0" w:lineRule="atLeast"/>
              <w:jc w:val="center"/>
              <w:rPr>
                <w:rFonts w:ascii="楷体" w:hAnsi="楷体" w:eastAsia="楷体"/>
                <w:sz w:val="16"/>
                <w:szCs w:val="16"/>
                <w:lang w:val="en-US"/>
              </w:rPr>
            </w:pPr>
            <w:r>
              <w:rPr>
                <w:rFonts w:hint="eastAsia" w:ascii="楷体" w:hAnsi="楷体" w:eastAsia="楷体"/>
                <w:sz w:val="16"/>
                <w:szCs w:val="16"/>
                <w:lang w:val="en-US"/>
              </w:rPr>
              <w:t>{{table1.执行价格}}</w:t>
            </w:r>
          </w:p>
          <w:p>
            <w:pPr>
              <w:spacing w:line="0" w:lineRule="atLeast"/>
              <w:jc w:val="center"/>
              <w:rPr>
                <w:rFonts w:ascii="楷体" w:hAnsi="楷体" w:eastAsia="楷体"/>
                <w:sz w:val="18"/>
                <w:szCs w:val="18"/>
              </w:rPr>
            </w:pPr>
            <w:r>
              <w:rPr>
                <w:rFonts w:hint="eastAsia" w:ascii="楷体" w:hAnsi="楷体" w:eastAsia="楷体"/>
                <w:sz w:val="18"/>
                <w:szCs w:val="18"/>
              </w:rPr>
              <w:t>（</w:t>
            </w:r>
            <w:r>
              <w:rPr>
                <w:rFonts w:ascii="楷体" w:hAnsi="楷体" w:eastAsia="楷体"/>
                <w:sz w:val="18"/>
                <w:szCs w:val="18"/>
              </w:rPr>
              <w:t>K</w:t>
            </w:r>
            <w:r>
              <w:rPr>
                <w:rFonts w:ascii="Cambria Math" w:hAnsi="Cambria Math" w:eastAsia="楷体" w:cs="Cambria Math"/>
                <w:sz w:val="18"/>
                <w:szCs w:val="18"/>
              </w:rPr>
              <w:t>₂</w:t>
            </w:r>
            <w:r>
              <w:rPr>
                <w:rFonts w:hint="eastAsia" w:ascii="楷体" w:hAnsi="楷体" w:eastAsia="楷体"/>
                <w:sz w:val="18"/>
                <w:szCs w:val="18"/>
              </w:rPr>
              <w:t>={</w:t>
            </w:r>
            <w:r>
              <w:rPr>
                <w:rFonts w:ascii="楷体" w:hAnsi="楷体" w:eastAsia="楷体"/>
                <w:sz w:val="18"/>
                <w:szCs w:val="18"/>
              </w:rPr>
              <w:t>{table1.k2}}</w:t>
            </w:r>
            <w:r>
              <w:rPr>
                <w:rFonts w:hint="eastAsia" w:ascii="楷体" w:hAnsi="楷体" w:eastAsia="楷体"/>
                <w:sz w:val="18"/>
                <w:szCs w:val="18"/>
              </w:rPr>
              <w:t>）</w:t>
            </w:r>
          </w:p>
        </w:tc>
        <w:tc>
          <w:tcPr>
            <w:tcW w:w="1080" w:type="dxa"/>
            <w:vAlign w:val="center"/>
          </w:tcPr>
          <w:p>
            <w:pPr>
              <w:spacing w:line="0" w:lineRule="atLeast"/>
              <w:jc w:val="center"/>
              <w:rPr>
                <w:rFonts w:ascii="楷体" w:hAnsi="楷体" w:eastAsia="楷体"/>
                <w:sz w:val="18"/>
                <w:szCs w:val="18"/>
              </w:rPr>
            </w:pPr>
            <w:r>
              <w:rPr>
                <w:rFonts w:hint="eastAsia" w:ascii="楷体" w:hAnsi="楷体" w:eastAsia="楷体"/>
                <w:sz w:val="16"/>
                <w:szCs w:val="16"/>
                <w:lang w:val="en-US"/>
              </w:rPr>
              <w:t>{{table1.行权方式}}</w:t>
            </w:r>
          </w:p>
        </w:tc>
        <w:tc>
          <w:tcPr>
            <w:tcW w:w="1260" w:type="dxa"/>
            <w:vAlign w:val="center"/>
          </w:tcPr>
          <w:p>
            <w:pPr>
              <w:spacing w:line="0" w:lineRule="atLeast"/>
              <w:jc w:val="center"/>
              <w:rPr>
                <w:rFonts w:ascii="楷体" w:hAnsi="楷体" w:eastAsia="楷体"/>
                <w:sz w:val="18"/>
                <w:szCs w:val="18"/>
              </w:rPr>
            </w:pPr>
            <w:r>
              <w:rPr>
                <w:rFonts w:hint="eastAsia" w:ascii="楷体" w:hAnsi="楷体" w:eastAsia="楷体"/>
                <w:sz w:val="16"/>
                <w:szCs w:val="16"/>
                <w:lang w:val="en-US"/>
              </w:rPr>
              <w:t>{{table1.交易方向}}</w:t>
            </w:r>
          </w:p>
        </w:tc>
        <w:tc>
          <w:tcPr>
            <w:tcW w:w="1460" w:type="dxa"/>
            <w:vAlign w:val="center"/>
          </w:tcPr>
          <w:p>
            <w:pPr>
              <w:spacing w:line="0" w:lineRule="atLeast"/>
              <w:jc w:val="center"/>
              <w:rPr>
                <w:rFonts w:ascii="楷体" w:hAnsi="楷体" w:eastAsia="楷体"/>
                <w:sz w:val="18"/>
                <w:szCs w:val="18"/>
              </w:rPr>
            </w:pPr>
            <w:r>
              <w:rPr>
                <w:rFonts w:hint="eastAsia" w:ascii="楷体" w:hAnsi="楷体" w:eastAsia="楷体"/>
                <w:sz w:val="16"/>
                <w:szCs w:val="16"/>
                <w:lang w:val="en-US"/>
              </w:rPr>
              <w:t>{{table1.期权费率}}</w:t>
            </w:r>
          </w:p>
        </w:tc>
        <w:tc>
          <w:tcPr>
            <w:tcW w:w="1538" w:type="dxa"/>
            <w:vAlign w:val="center"/>
          </w:tcPr>
          <w:p>
            <w:pPr>
              <w:spacing w:line="0" w:lineRule="atLeast"/>
              <w:jc w:val="center"/>
              <w:rPr>
                <w:rFonts w:ascii="楷体" w:hAnsi="楷体" w:eastAsia="楷体"/>
                <w:sz w:val="16"/>
                <w:szCs w:val="16"/>
                <w:lang w:val="en-US"/>
              </w:rPr>
            </w:pPr>
            <w:r>
              <w:rPr>
                <w:rFonts w:hint="eastAsia" w:ascii="楷体" w:hAnsi="楷体" w:eastAsia="楷体"/>
                <w:sz w:val="16"/>
                <w:szCs w:val="16"/>
                <w:lang w:val="en-US"/>
              </w:rPr>
              <w:t>{{table1.</w:t>
            </w:r>
            <w:r>
              <w:rPr>
                <w:rFonts w:hint="eastAsia" w:ascii="楷体" w:hAnsi="楷体" w:eastAsia="楷体"/>
                <w:sz w:val="18"/>
                <w:szCs w:val="18"/>
              </w:rPr>
              <w:t>初始合格保证品金额}}</w:t>
            </w:r>
          </w:p>
          <w:p>
            <w:pPr>
              <w:spacing w:line="0" w:lineRule="atLeast"/>
              <w:jc w:val="center"/>
              <w:rPr>
                <w:rFonts w:ascii="楷体" w:hAnsi="楷体" w:eastAsia="楷体"/>
                <w:sz w:val="18"/>
                <w:szCs w:val="18"/>
              </w:rPr>
            </w:pPr>
            <w:r>
              <w:rPr>
                <w:rFonts w:hint="eastAsia" w:ascii="楷体" w:hAnsi="楷体" w:eastAsia="楷体"/>
                <w:sz w:val="18"/>
                <w:szCs w:val="18"/>
              </w:rPr>
              <w:t>(</w:t>
            </w:r>
            <w:r>
              <w:rPr>
                <w:rFonts w:ascii="楷体" w:hAnsi="楷体" w:eastAsia="楷体"/>
                <w:sz w:val="22"/>
              </w:rPr>
              <w:t>φ</w:t>
            </w:r>
            <w:r>
              <w:rPr>
                <w:rFonts w:hint="eastAsia" w:ascii="楷体" w:hAnsi="楷体" w:eastAsia="楷体"/>
                <w:sz w:val="18"/>
                <w:szCs w:val="18"/>
              </w:rPr>
              <w:t xml:space="preserve"> =</w:t>
            </w:r>
            <w:r>
              <w:rPr>
                <w:rFonts w:ascii="楷体" w:hAnsi="楷体" w:eastAsia="楷体"/>
                <w:sz w:val="18"/>
                <w:szCs w:val="18"/>
              </w:rPr>
              <w:t xml:space="preserve"> </w:t>
            </w:r>
            <w:r>
              <w:rPr>
                <w:rFonts w:hint="eastAsia" w:ascii="楷体" w:hAnsi="楷体" w:eastAsia="楷体"/>
                <w:sz w:val="18"/>
                <w:szCs w:val="18"/>
              </w:rPr>
              <w:t>{</w:t>
            </w:r>
            <w:r>
              <w:rPr>
                <w:rFonts w:ascii="楷体" w:hAnsi="楷体" w:eastAsia="楷体"/>
                <w:sz w:val="18"/>
                <w:szCs w:val="18"/>
              </w:rPr>
              <w:t>{table1.&amp;}}</w:t>
            </w:r>
            <w:r>
              <w:rPr>
                <w:rFonts w:hint="eastAsia" w:ascii="楷体" w:hAnsi="楷体" w:eastAsia="楷体"/>
                <w:sz w:val="18"/>
                <w:szCs w:val="18"/>
              </w:rPr>
              <w:t>）</w:t>
            </w:r>
          </w:p>
        </w:tc>
      </w:tr>
    </w:tbl>
    <w:p>
      <w:pPr>
        <w:spacing w:line="276" w:lineRule="auto"/>
        <w:rPr>
          <w:rFonts w:ascii="楷体" w:hAnsi="楷体" w:eastAsia="楷体"/>
          <w:sz w:val="20"/>
          <w:szCs w:val="20"/>
        </w:rPr>
        <w:sectPr>
          <w:pgSz w:w="16838" w:h="11906" w:orient="landscape"/>
          <w:pgMar w:top="1418" w:right="567" w:bottom="1418" w:left="567" w:header="851" w:footer="992" w:gutter="0"/>
          <w:cols w:space="425" w:num="1"/>
          <w:docGrid w:type="lines" w:linePitch="312" w:charSpace="0"/>
        </w:sect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0"/>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交易要素定义（（具体要素以“交易要素明细”为准）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single" w:color="auto" w:sz="12" w:space="0"/>
              <w:left w:val="nil"/>
              <w:bottom w:val="nil"/>
            </w:tcBorders>
          </w:tcPr>
          <w:p>
            <w:pPr>
              <w:pStyle w:val="10"/>
              <w:numPr>
                <w:ilvl w:val="0"/>
                <w:numId w:val="2"/>
              </w:numPr>
              <w:spacing w:before="78" w:beforeLines="25" w:line="276" w:lineRule="auto"/>
              <w:ind w:firstLineChars="0"/>
              <w:rPr>
                <w:rFonts w:ascii="黑体" w:hAnsi="黑体" w:eastAsia="黑体"/>
                <w:sz w:val="22"/>
              </w:rPr>
            </w:pPr>
            <w:r>
              <w:rPr>
                <w:rFonts w:hint="eastAsia" w:ascii="黑体" w:hAnsi="黑体" w:eastAsia="黑体"/>
                <w:sz w:val="22"/>
              </w:rPr>
              <w:t>交易编号</w:t>
            </w:r>
          </w:p>
        </w:tc>
        <w:tc>
          <w:tcPr>
            <w:tcW w:w="6901" w:type="dxa"/>
            <w:tcBorders>
              <w:top w:val="single" w:color="auto" w:sz="12" w:space="0"/>
              <w:bottom w:val="nil"/>
              <w:right w:val="nil"/>
            </w:tcBorders>
          </w:tcPr>
          <w:p>
            <w:pPr>
              <w:spacing w:before="78" w:beforeLines="25" w:line="276" w:lineRule="auto"/>
              <w:rPr>
                <w:rFonts w:ascii="楷体" w:hAnsi="楷体" w:eastAsia="楷体"/>
                <w:sz w:val="22"/>
              </w:rPr>
            </w:pPr>
            <w:r>
              <w:rPr>
                <w:rFonts w:hint="eastAsia" w:ascii="楷体" w:hAnsi="楷体" w:eastAsia="楷体"/>
                <w:sz w:val="22"/>
              </w:rPr>
              <w:t>甲方按照一定的编制规则为其交易簿中的场外衍生品交易逐一编制的唯一性代码，构成一笔交易的唯一标识。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0"/>
              <w:numPr>
                <w:ilvl w:val="0"/>
                <w:numId w:val="2"/>
              </w:numPr>
              <w:spacing w:line="276" w:lineRule="auto"/>
              <w:ind w:firstLineChars="0"/>
              <w:rPr>
                <w:rFonts w:ascii="黑体" w:hAnsi="黑体" w:eastAsia="黑体"/>
                <w:sz w:val="22"/>
              </w:rPr>
            </w:pPr>
            <w:r>
              <w:rPr>
                <w:rFonts w:hint="eastAsia" w:ascii="黑体" w:hAnsi="黑体" w:eastAsia="黑体"/>
                <w:sz w:val="22"/>
              </w:rPr>
              <w:t>结构类型</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香草期权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0"/>
              <w:numPr>
                <w:ilvl w:val="0"/>
                <w:numId w:val="2"/>
              </w:numPr>
              <w:spacing w:line="276" w:lineRule="auto"/>
              <w:ind w:firstLineChars="0"/>
              <w:rPr>
                <w:rFonts w:ascii="黑体" w:hAnsi="黑体" w:eastAsia="黑体"/>
                <w:sz w:val="22"/>
              </w:rPr>
            </w:pPr>
            <w:r>
              <w:rPr>
                <w:rFonts w:hint="eastAsia" w:ascii="黑体" w:hAnsi="黑体" w:eastAsia="黑体"/>
                <w:sz w:val="22"/>
              </w:rPr>
              <w:t>买方</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权利方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0"/>
              <w:numPr>
                <w:ilvl w:val="0"/>
                <w:numId w:val="2"/>
              </w:numPr>
              <w:spacing w:line="276" w:lineRule="auto"/>
              <w:ind w:firstLineChars="0"/>
              <w:rPr>
                <w:rFonts w:ascii="黑体" w:hAnsi="黑体" w:eastAsia="黑体"/>
                <w:sz w:val="22"/>
              </w:rPr>
            </w:pPr>
            <w:r>
              <w:rPr>
                <w:rFonts w:hint="eastAsia" w:ascii="黑体" w:hAnsi="黑体" w:eastAsia="黑体"/>
                <w:sz w:val="22"/>
              </w:rPr>
              <w:t>交易达成日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甲乙双方达成特定场外衍生品交易的日期。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0"/>
              <w:numPr>
                <w:ilvl w:val="0"/>
                <w:numId w:val="2"/>
              </w:numPr>
              <w:spacing w:line="276" w:lineRule="auto"/>
              <w:ind w:firstLineChars="0"/>
              <w:rPr>
                <w:rFonts w:ascii="黑体" w:hAnsi="黑体" w:eastAsia="黑体"/>
                <w:sz w:val="22"/>
              </w:rPr>
            </w:pPr>
            <w:r>
              <w:rPr>
                <w:rFonts w:hint="eastAsia" w:ascii="黑体" w:hAnsi="黑体" w:eastAsia="黑体"/>
                <w:sz w:val="22"/>
              </w:rPr>
              <w:t>起始日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场外衍生品交易合约条款开始执行的日期。若无特别约定，起始日同交易达成日。若该日为非交易日，则顺延至下一交易日。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0"/>
              <w:numPr>
                <w:ilvl w:val="0"/>
                <w:numId w:val="2"/>
              </w:numPr>
              <w:spacing w:line="276" w:lineRule="auto"/>
              <w:ind w:firstLineChars="0"/>
              <w:rPr>
                <w:rFonts w:ascii="黑体" w:hAnsi="黑体" w:eastAsia="黑体"/>
                <w:sz w:val="22"/>
              </w:rPr>
            </w:pPr>
            <w:r>
              <w:rPr>
                <w:rFonts w:hint="eastAsia" w:ascii="黑体" w:hAnsi="黑体" w:eastAsia="黑体"/>
                <w:sz w:val="22"/>
              </w:rPr>
              <w:t>到期日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场外衍生品交易合约条款预定终止执行的日期。若该日为非交易日，则顺延至下一交易日。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2835" w:type="dxa"/>
            <w:tcBorders>
              <w:top w:val="nil"/>
              <w:left w:val="nil"/>
              <w:bottom w:val="nil"/>
            </w:tcBorders>
          </w:tcPr>
          <w:p>
            <w:pPr>
              <w:pStyle w:val="10"/>
              <w:numPr>
                <w:ilvl w:val="0"/>
                <w:numId w:val="2"/>
              </w:numPr>
              <w:spacing w:line="276" w:lineRule="auto"/>
              <w:ind w:firstLineChars="0"/>
              <w:rPr>
                <w:rFonts w:ascii="黑体" w:hAnsi="黑体" w:eastAsia="黑体"/>
                <w:sz w:val="22"/>
              </w:rPr>
            </w:pPr>
            <w:r>
              <w:rPr>
                <w:rFonts w:hint="eastAsia" w:ascii="黑体" w:hAnsi="黑体" w:eastAsia="黑体"/>
                <w:sz w:val="22"/>
              </w:rPr>
              <w:t>行权日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买方行使权利的日期，默认欧式期权实值到期时自动行权。具体日期以相关结算文件为准。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0"/>
              <w:numPr>
                <w:ilvl w:val="0"/>
                <w:numId w:val="2"/>
              </w:numPr>
              <w:spacing w:line="276" w:lineRule="auto"/>
              <w:ind w:firstLineChars="0"/>
              <w:rPr>
                <w:rFonts w:ascii="黑体" w:hAnsi="黑体" w:eastAsia="黑体"/>
                <w:sz w:val="22"/>
              </w:rPr>
            </w:pPr>
            <w:r>
              <w:rPr>
                <w:rFonts w:hint="eastAsia" w:ascii="黑体" w:hAnsi="黑体" w:eastAsia="黑体"/>
                <w:sz w:val="22"/>
              </w:rPr>
              <w:t>名义金额</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达成场外衍生品交易时约定的用于计算期权费和行权收益的本金额，代表了该笔交易的交易规模，四舍五入精确到小数点后第二位。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0"/>
              <w:numPr>
                <w:ilvl w:val="0"/>
                <w:numId w:val="2"/>
              </w:numPr>
              <w:spacing w:line="276" w:lineRule="auto"/>
              <w:ind w:firstLineChars="0"/>
              <w:rPr>
                <w:rFonts w:ascii="黑体" w:hAnsi="黑体" w:eastAsia="黑体"/>
                <w:sz w:val="22"/>
              </w:rPr>
            </w:pPr>
            <w:r>
              <w:rPr>
                <w:rFonts w:hint="eastAsia" w:ascii="黑体" w:hAnsi="黑体" w:eastAsia="黑体"/>
                <w:sz w:val="22"/>
              </w:rPr>
              <w:t>行权方式</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欧式或美式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0"/>
              <w:numPr>
                <w:ilvl w:val="0"/>
                <w:numId w:val="2"/>
              </w:numPr>
              <w:spacing w:line="276" w:lineRule="auto"/>
              <w:ind w:firstLineChars="0"/>
              <w:rPr>
                <w:rFonts w:ascii="黑体" w:hAnsi="黑体" w:eastAsia="黑体"/>
                <w:sz w:val="22"/>
              </w:rPr>
            </w:pPr>
            <w:r>
              <w:rPr>
                <w:rFonts w:hint="eastAsia" w:ascii="黑体" w:hAnsi="黑体" w:eastAsia="黑体"/>
                <w:sz w:val="22"/>
              </w:rPr>
              <w:t>交易方向</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看涨或看跌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2835" w:type="dxa"/>
            <w:tcBorders>
              <w:top w:val="nil"/>
              <w:left w:val="nil"/>
              <w:bottom w:val="nil"/>
            </w:tcBorders>
          </w:tcPr>
          <w:p>
            <w:pPr>
              <w:pStyle w:val="10"/>
              <w:numPr>
                <w:ilvl w:val="0"/>
                <w:numId w:val="2"/>
              </w:numPr>
              <w:spacing w:line="276" w:lineRule="auto"/>
              <w:ind w:firstLineChars="0"/>
              <w:rPr>
                <w:rFonts w:ascii="黑体" w:hAnsi="黑体" w:eastAsia="黑体"/>
                <w:sz w:val="22"/>
              </w:rPr>
            </w:pPr>
            <w:r>
              <w:rPr>
                <w:rFonts w:hint="eastAsia" w:ascii="黑体" w:hAnsi="黑体" w:eastAsia="黑体"/>
                <w:sz w:val="22"/>
              </w:rPr>
              <w:t>标的资产</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指场外衍生品交易挂钩的基础资产，包括权益和商品两个资产类别，通过相应的代码、名称等方式识别。权益类标的包括但不限于适用法律要求在交易所发行或交易的股票（参照中国证券业协会最新定义的标的范围）、股份、股票指数、股指期货、交易所交易基金及其组合。商品类标的包含但不限于符合法律要求的实物商品、商品指数和商品期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0"/>
              <w:numPr>
                <w:ilvl w:val="0"/>
                <w:numId w:val="2"/>
              </w:numPr>
              <w:spacing w:line="276" w:lineRule="auto"/>
              <w:ind w:firstLineChars="0"/>
              <w:rPr>
                <w:rFonts w:ascii="黑体" w:hAnsi="黑体" w:eastAsia="黑体"/>
                <w:sz w:val="22"/>
              </w:rPr>
            </w:pPr>
            <w:r>
              <w:rPr>
                <w:rFonts w:hint="eastAsia" w:ascii="黑体" w:hAnsi="黑体" w:eastAsia="黑体"/>
                <w:sz w:val="22"/>
              </w:rPr>
              <w:t>期初价格</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标的资产在起始日的收盘价格或其他约定价格，四舍五入精确到小数点后第四位。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0"/>
              <w:numPr>
                <w:ilvl w:val="0"/>
                <w:numId w:val="2"/>
              </w:numPr>
              <w:spacing w:line="276" w:lineRule="auto"/>
              <w:ind w:firstLineChars="0"/>
              <w:rPr>
                <w:rFonts w:ascii="黑体" w:hAnsi="黑体" w:eastAsia="黑体"/>
                <w:sz w:val="22"/>
              </w:rPr>
            </w:pPr>
            <w:r>
              <w:rPr>
                <w:rFonts w:hint="eastAsia" w:ascii="黑体" w:hAnsi="黑体" w:eastAsia="黑体"/>
                <w:sz w:val="22"/>
              </w:rPr>
              <w:t>行权时标的价格</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标的资产在行权日北京时间（</w:t>
            </w:r>
            <w:r>
              <w:rPr>
                <w:rFonts w:ascii="楷体" w:hAnsi="楷体" w:eastAsia="楷体"/>
                <w:sz w:val="22"/>
              </w:rPr>
              <w:t>UTC+8）14:30至14:57的时间加权平均价格（TWAP）或其他约定价格，四舍五入精确到小数点后第四位。具体价格以相关结算文件为准。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0"/>
              <w:numPr>
                <w:ilvl w:val="0"/>
                <w:numId w:val="2"/>
              </w:numPr>
              <w:spacing w:line="276" w:lineRule="auto"/>
              <w:ind w:firstLineChars="0"/>
              <w:rPr>
                <w:rFonts w:ascii="黑体" w:hAnsi="黑体" w:eastAsia="黑体"/>
                <w:sz w:val="22"/>
              </w:rPr>
            </w:pPr>
            <w:r>
              <w:rPr>
                <w:rFonts w:hint="eastAsia" w:ascii="黑体" w:hAnsi="黑体" w:eastAsia="黑体"/>
                <w:sz w:val="22"/>
              </w:rPr>
              <w:t>执行价格</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期初价格</w:t>
            </w:r>
            <m:oMath>
              <m:r>
                <m:rPr/>
                <w:rPr>
                  <w:rFonts w:ascii="Cambria Math" w:hAnsi="Cambria Math" w:eastAsia="楷体"/>
                  <w:sz w:val="22"/>
                </w:rPr>
                <m:t xml:space="preserve"> ×K</m:t>
              </m:r>
            </m:oMath>
            <w:r>
              <w:rPr>
                <w:rFonts w:hint="eastAsia" w:ascii="楷体" w:hAnsi="楷体" w:eastAsia="楷体"/>
                <w:sz w:val="22"/>
              </w:rPr>
              <w:t>，</w:t>
            </w:r>
            <m:oMath>
              <m:r>
                <m:rPr/>
                <w:rPr>
                  <w:rFonts w:ascii="Cambria Math" w:hAnsi="Cambria Math" w:eastAsia="楷体"/>
                  <w:sz w:val="22"/>
                </w:rPr>
                <m:t xml:space="preserve">K ≥ </m:t>
              </m:r>
            </m:oMath>
            <w:r>
              <w:rPr>
                <w:rFonts w:hint="eastAsia" w:ascii="楷体" w:hAnsi="楷体" w:eastAsia="楷体"/>
                <w:sz w:val="22"/>
              </w:rPr>
              <w:t>0，四舍五入精确到小数点后第四位。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35" w:type="dxa"/>
            <w:tcBorders>
              <w:top w:val="nil"/>
              <w:left w:val="nil"/>
              <w:bottom w:val="single" w:color="auto" w:sz="12" w:space="0"/>
            </w:tcBorders>
          </w:tcPr>
          <w:p>
            <w:pPr>
              <w:pStyle w:val="10"/>
              <w:numPr>
                <w:ilvl w:val="0"/>
                <w:numId w:val="2"/>
              </w:numPr>
              <w:spacing w:line="276" w:lineRule="auto"/>
              <w:ind w:firstLineChars="0"/>
              <w:rPr>
                <w:rFonts w:ascii="黑体" w:hAnsi="黑体" w:eastAsia="黑体"/>
                <w:sz w:val="22"/>
              </w:rPr>
            </w:pPr>
            <w:r>
              <w:rPr>
                <w:rFonts w:hint="eastAsia" w:ascii="黑体" w:hAnsi="黑体" w:eastAsia="黑体"/>
                <w:sz w:val="22"/>
              </w:rPr>
              <w:t>期权费率</w:t>
            </w:r>
          </w:p>
        </w:tc>
        <w:tc>
          <w:tcPr>
            <w:tcW w:w="6901" w:type="dxa"/>
            <w:tcBorders>
              <w:top w:val="nil"/>
              <w:bottom w:val="single" w:color="auto" w:sz="12" w:space="0"/>
              <w:right w:val="nil"/>
            </w:tcBorders>
          </w:tcPr>
          <w:p>
            <w:pPr>
              <w:spacing w:after="62" w:afterLines="20" w:line="276" w:lineRule="auto"/>
              <w:rPr>
                <w:rFonts w:ascii="楷体" w:hAnsi="楷体" w:eastAsia="楷体"/>
                <w:sz w:val="22"/>
              </w:rPr>
            </w:pPr>
            <w:r>
              <w:rPr>
                <w:rFonts w:hint="eastAsia" w:ascii="楷体" w:hAnsi="楷体" w:eastAsia="楷体"/>
                <w:sz w:val="22"/>
              </w:rPr>
              <w:t>买方为一单位名义金额的交易规模在期初支付的期权费。</w:t>
            </w:r>
          </w:p>
        </w:tc>
      </w:tr>
    </w:tbl>
    <w:p>
      <w:pPr>
        <w:spacing w:line="276" w:lineRule="auto"/>
        <w:rPr>
          <w:rFonts w:ascii="楷体" w:hAnsi="楷体" w:eastAsia="楷体"/>
          <w:sz w:val="24"/>
          <w:szCs w:val="24"/>
        </w:rPr>
        <w:sectPr>
          <w:pgSz w:w="11906" w:h="16838"/>
          <w:pgMar w:top="1440" w:right="1080" w:bottom="1440" w:left="1080" w:header="851" w:footer="992" w:gutter="0"/>
          <w:cols w:space="425" w:num="1"/>
          <w:docGrid w:type="lines" w:linePitch="312" w:charSpace="0"/>
        </w:sectPr>
      </w:pPr>
    </w:p>
    <w:tbl>
      <w:tblPr>
        <w:tblStyle w:val="7"/>
        <w:tblpPr w:leftFromText="180" w:rightFromText="180" w:vertAnchor="text" w:horzAnchor="margin" w:tblpY="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0"/>
              <w:numPr>
                <w:ilvl w:val="0"/>
                <w:numId w:val="1"/>
              </w:numPr>
              <w:spacing w:line="276" w:lineRule="auto"/>
              <w:ind w:firstLineChars="0"/>
              <w:rPr>
                <w:rFonts w:ascii="黑体" w:hAnsi="黑体" w:eastAsia="黑体"/>
                <w:sz w:val="24"/>
                <w:szCs w:val="24"/>
              </w:rPr>
            </w:pPr>
            <w:bookmarkStart w:id="0" w:name="_Hlk43392410"/>
            <w:r>
              <w:rPr>
                <w:rFonts w:hint="eastAsia" w:ascii="黑体" w:hAnsi="黑体" w:eastAsia="黑体"/>
                <w:sz w:val="24"/>
                <w:szCs w:val="24"/>
              </w:rPr>
              <w:t>履约保障条款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835" w:type="dxa"/>
            <w:tcBorders>
              <w:top w:val="nil"/>
              <w:left w:val="nil"/>
              <w:bottom w:val="nil"/>
            </w:tcBorders>
          </w:tcPr>
          <w:p>
            <w:pPr>
              <w:pStyle w:val="10"/>
              <w:numPr>
                <w:ilvl w:val="0"/>
                <w:numId w:val="3"/>
              </w:numPr>
              <w:spacing w:before="62" w:beforeLines="20" w:line="276" w:lineRule="auto"/>
              <w:ind w:firstLineChars="0"/>
              <w:rPr>
                <w:rFonts w:ascii="黑体" w:hAnsi="黑体" w:eastAsia="黑体"/>
                <w:sz w:val="22"/>
              </w:rPr>
            </w:pPr>
            <w:r>
              <w:rPr>
                <w:rFonts w:hint="eastAsia" w:ascii="黑体" w:hAnsi="黑体" w:eastAsia="黑体"/>
                <w:sz w:val="22"/>
              </w:rPr>
              <w:t>合格履约保障品类型</w:t>
            </w:r>
          </w:p>
        </w:tc>
        <w:tc>
          <w:tcPr>
            <w:tcW w:w="6901" w:type="dxa"/>
            <w:tcBorders>
              <w:top w:val="nil"/>
              <w:bottom w:val="nil"/>
              <w:right w:val="nil"/>
            </w:tcBorders>
          </w:tcPr>
          <w:p>
            <w:pPr>
              <w:spacing w:before="62" w:beforeLines="20" w:line="276" w:lineRule="auto"/>
              <w:rPr>
                <w:rFonts w:ascii="楷体" w:hAnsi="楷体" w:eastAsia="楷体"/>
                <w:sz w:val="22"/>
              </w:rPr>
            </w:pPr>
            <w:r>
              <w:rPr>
                <w:rFonts w:hint="eastAsia" w:ascii="楷体" w:hAnsi="楷体" w:eastAsia="楷体"/>
                <w:sz w:val="22"/>
              </w:rPr>
              <w:t>根据《履约保障协议》中的约定，若无特殊说明，合格履约保障品默认为现金。对于出质的非现金合格履约保障品，应当由计算机构公允评估其市值，按特定折扣率计算其等价现金额。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trPr>
        <w:tc>
          <w:tcPr>
            <w:tcW w:w="2835" w:type="dxa"/>
            <w:tcBorders>
              <w:top w:val="nil"/>
              <w:left w:val="nil"/>
              <w:bottom w:val="nil"/>
            </w:tcBorders>
          </w:tcPr>
          <w:p>
            <w:pPr>
              <w:pStyle w:val="10"/>
              <w:numPr>
                <w:ilvl w:val="0"/>
                <w:numId w:val="3"/>
              </w:numPr>
              <w:spacing w:line="276" w:lineRule="auto"/>
              <w:ind w:firstLineChars="0"/>
              <w:rPr>
                <w:rFonts w:ascii="黑体" w:hAnsi="黑体" w:eastAsia="黑体"/>
                <w:sz w:val="20"/>
                <w:szCs w:val="20"/>
              </w:rPr>
            </w:pPr>
            <w:r>
              <w:rPr>
                <w:rFonts w:hint="eastAsia" w:ascii="黑体" w:hAnsi="黑体" w:eastAsia="黑体"/>
                <w:sz w:val="20"/>
                <w:szCs w:val="20"/>
              </w:rPr>
              <w:t>初始合格履约保障品金额</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初始合格履约保障品金额</w:t>
            </w:r>
            <w:r>
              <w:rPr>
                <w:rFonts w:ascii="楷体" w:hAnsi="楷体" w:eastAsia="楷体"/>
                <w:sz w:val="22"/>
              </w:rPr>
              <w:t xml:space="preserve"> = φ × 名义金额，φ为初始合格履约保障品率，0＜φ＜1，金额四舍五入精确到小数点后第二位。乙方须缴纳的逐笔交易的初始合格履约保障品金额详见本交易确认书第一条“交易要素明细”。逐笔交易的初始合格履约保障品金额之和为初始合格履约保障品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2835" w:type="dxa"/>
            <w:tcBorders>
              <w:top w:val="nil"/>
              <w:left w:val="nil"/>
              <w:bottom w:val="nil"/>
            </w:tcBorders>
          </w:tcPr>
          <w:p>
            <w:pPr>
              <w:pStyle w:val="10"/>
              <w:numPr>
                <w:ilvl w:val="0"/>
                <w:numId w:val="3"/>
              </w:numPr>
              <w:spacing w:line="276" w:lineRule="auto"/>
              <w:ind w:firstLineChars="0"/>
              <w:rPr>
                <w:rFonts w:ascii="黑体" w:hAnsi="黑体" w:eastAsia="黑体"/>
                <w:sz w:val="20"/>
                <w:szCs w:val="20"/>
              </w:rPr>
            </w:pPr>
            <w:r>
              <w:rPr>
                <w:rFonts w:hint="eastAsia" w:ascii="黑体" w:hAnsi="黑体" w:eastAsia="黑体"/>
                <w:sz w:val="20"/>
                <w:szCs w:val="20"/>
              </w:rPr>
              <w:t>盯市合格履约保障品金额</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甲乙双方之间尚有场外衍生品交易存续期间，在每一交易日，甲方按照市场通用估值方法对存续交易的价值和风险敞口进行合并盯市计算和整体监控，以确定乙方的衍生品持仓头寸整体所需的盯市合格履约保障品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trPr>
        <w:tc>
          <w:tcPr>
            <w:tcW w:w="2835" w:type="dxa"/>
            <w:tcBorders>
              <w:top w:val="nil"/>
              <w:left w:val="nil"/>
              <w:bottom w:val="single" w:color="auto" w:sz="12" w:space="0"/>
            </w:tcBorders>
          </w:tcPr>
          <w:p>
            <w:pPr>
              <w:pStyle w:val="10"/>
              <w:numPr>
                <w:ilvl w:val="0"/>
                <w:numId w:val="3"/>
              </w:numPr>
              <w:spacing w:line="276" w:lineRule="auto"/>
              <w:ind w:firstLineChars="0"/>
              <w:rPr>
                <w:rFonts w:ascii="黑体" w:hAnsi="黑体" w:eastAsia="黑体"/>
                <w:sz w:val="20"/>
                <w:szCs w:val="20"/>
              </w:rPr>
            </w:pPr>
            <w:r>
              <w:rPr>
                <w:rFonts w:hint="eastAsia" w:ascii="黑体" w:hAnsi="黑体" w:eastAsia="黑体"/>
                <w:sz w:val="20"/>
                <w:szCs w:val="20"/>
              </w:rPr>
              <w:t>追加合格履约保障品条款</w:t>
            </w:r>
          </w:p>
        </w:tc>
        <w:tc>
          <w:tcPr>
            <w:tcW w:w="6901" w:type="dxa"/>
            <w:tcBorders>
              <w:top w:val="nil"/>
              <w:bottom w:val="single" w:color="auto" w:sz="12" w:space="0"/>
              <w:right w:val="nil"/>
            </w:tcBorders>
          </w:tcPr>
          <w:p>
            <w:pPr>
              <w:spacing w:line="276" w:lineRule="auto"/>
              <w:rPr>
                <w:rFonts w:ascii="楷体" w:hAnsi="楷体" w:eastAsia="楷体"/>
                <w:sz w:val="22"/>
              </w:rPr>
            </w:pPr>
            <w:r>
              <w:rPr>
                <w:rFonts w:hint="eastAsia" w:ascii="楷体" w:hAnsi="楷体" w:eastAsia="楷体"/>
                <w:sz w:val="22"/>
              </w:rPr>
              <w:t>甲乙双方之间尚有场外衍生品交易存续期间，在每一交易日，若乙方的预付资金账户余额、非现金合格履约保障品现值和甲方给予乙方的授信额度的合计金额不足以抵扣当日乙方持仓头寸整体所需的盯市合格履约保障品金额，甲方应通过电子邮件或录音电话等约定的方式及时向乙方发出追加合格履约保障品通知。乙方须遵照《履约保障协议》中的约定在限定时间内补足合格履约保障品。合格履约保障品划付产生的相关费用，由各方自行承担。</w:t>
            </w:r>
          </w:p>
          <w:p>
            <w:pPr>
              <w:spacing w:line="276" w:lineRule="auto"/>
              <w:rPr>
                <w:rFonts w:ascii="楷体" w:hAnsi="楷体" w:eastAsia="楷体"/>
                <w:sz w:val="22"/>
              </w:rPr>
            </w:pPr>
            <w:r>
              <w:rPr>
                <w:rFonts w:hint="eastAsia" w:ascii="楷体" w:hAnsi="楷体" w:eastAsia="楷体"/>
                <w:sz w:val="22"/>
              </w:rPr>
              <w:t>若乙方不能按时足额追加合格履约保障品，应当通过电子邮件的方式向甲方提出申请，经甲方同意后可延迟提交，合格履约保障品尚未补足期间甲方有权在不通知乙方的情况下对乙方的持仓头寸进行部分或全部提前终止。</w:t>
            </w:r>
          </w:p>
        </w:tc>
      </w:tr>
      <w:bookmarkEnd w:id="0"/>
    </w:tbl>
    <w:p>
      <w:pPr>
        <w:jc w:val="left"/>
        <w:rPr>
          <w:rFonts w:ascii="楷体" w:hAnsi="楷体" w:eastAsia="楷体"/>
          <w:sz w:val="24"/>
          <w:szCs w:val="24"/>
        </w:rPr>
        <w:sectPr>
          <w:pgSz w:w="11906" w:h="16838"/>
          <w:pgMar w:top="1440" w:right="1080" w:bottom="1440" w:left="1080" w:header="851" w:footer="992" w:gutter="0"/>
          <w:cols w:space="425" w:num="1"/>
          <w:docGrid w:type="lines" w:linePitch="312" w:charSpace="0"/>
        </w:sectPr>
      </w:pPr>
    </w:p>
    <w:tbl>
      <w:tblPr>
        <w:tblStyle w:val="7"/>
        <w:tblpPr w:leftFromText="180" w:rightFromText="180" w:vertAnchor="text" w:horzAnchor="margin" w:tblpY="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0"/>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结算支付条款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835" w:type="dxa"/>
            <w:tcBorders>
              <w:top w:val="nil"/>
              <w:left w:val="nil"/>
              <w:bottom w:val="nil"/>
            </w:tcBorders>
          </w:tcPr>
          <w:p>
            <w:pPr>
              <w:pStyle w:val="10"/>
              <w:numPr>
                <w:ilvl w:val="0"/>
                <w:numId w:val="4"/>
              </w:numPr>
              <w:spacing w:before="46" w:beforeLines="15" w:line="276" w:lineRule="auto"/>
              <w:ind w:firstLineChars="0"/>
              <w:rPr>
                <w:rFonts w:ascii="黑体" w:hAnsi="黑体" w:eastAsia="黑体"/>
                <w:sz w:val="22"/>
              </w:rPr>
            </w:pPr>
            <w:r>
              <w:rPr>
                <w:rFonts w:hint="eastAsia" w:ascii="黑体" w:hAnsi="黑体" w:eastAsia="黑体"/>
                <w:sz w:val="22"/>
              </w:rPr>
              <w:t>交易货币</w:t>
            </w:r>
          </w:p>
        </w:tc>
        <w:tc>
          <w:tcPr>
            <w:tcW w:w="6901" w:type="dxa"/>
            <w:tcBorders>
              <w:top w:val="nil"/>
              <w:bottom w:val="nil"/>
              <w:right w:val="nil"/>
            </w:tcBorders>
          </w:tcPr>
          <w:p>
            <w:pPr>
              <w:spacing w:before="46" w:beforeLines="15" w:line="276" w:lineRule="auto"/>
              <w:rPr>
                <w:rFonts w:ascii="楷体" w:hAnsi="楷体" w:eastAsia="楷体"/>
                <w:sz w:val="22"/>
              </w:rPr>
            </w:pPr>
            <w:r>
              <w:rPr>
                <w:rFonts w:hint="eastAsia" w:ascii="楷体" w:hAnsi="楷体" w:eastAsia="楷体"/>
                <w:sz w:val="22"/>
              </w:rPr>
              <w:t>甲乙双方就本确认书项下场外衍生品交易约定的用于计算期权费和行权收益等交易金额的货币币种。若无特别约定，默认为在岸人民币（</w:t>
            </w:r>
            <w:r>
              <w:rPr>
                <w:rFonts w:ascii="楷体" w:hAnsi="楷体" w:eastAsia="楷体"/>
                <w:sz w:val="22"/>
              </w:rPr>
              <w:t>CNY）。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0"/>
              <w:numPr>
                <w:ilvl w:val="0"/>
                <w:numId w:val="4"/>
              </w:numPr>
              <w:spacing w:line="276" w:lineRule="auto"/>
              <w:ind w:firstLineChars="0"/>
              <w:rPr>
                <w:rFonts w:ascii="黑体" w:hAnsi="黑体" w:eastAsia="黑体"/>
                <w:sz w:val="22"/>
              </w:rPr>
            </w:pPr>
            <w:r>
              <w:rPr>
                <w:rFonts w:hint="eastAsia" w:ascii="黑体" w:hAnsi="黑体" w:eastAsia="黑体"/>
                <w:sz w:val="22"/>
              </w:rPr>
              <w:t>结算货币</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甲乙双方就本确认书项下场外衍生品交易约定的用于结算和支付的货币币种。若无特别约定，默认为在岸人民币（</w:t>
            </w:r>
            <w:r>
              <w:rPr>
                <w:rFonts w:ascii="楷体" w:hAnsi="楷体" w:eastAsia="楷体"/>
                <w:sz w:val="22"/>
              </w:rPr>
              <w:t>CNY）。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2835" w:type="dxa"/>
            <w:tcBorders>
              <w:top w:val="nil"/>
              <w:left w:val="nil"/>
              <w:bottom w:val="nil"/>
            </w:tcBorders>
          </w:tcPr>
          <w:p>
            <w:pPr>
              <w:pStyle w:val="10"/>
              <w:numPr>
                <w:ilvl w:val="0"/>
                <w:numId w:val="4"/>
              </w:numPr>
              <w:spacing w:line="276" w:lineRule="auto"/>
              <w:ind w:firstLineChars="0"/>
              <w:rPr>
                <w:rFonts w:ascii="黑体" w:hAnsi="黑体" w:eastAsia="黑体"/>
                <w:sz w:val="22"/>
              </w:rPr>
            </w:pPr>
            <w:r>
              <w:rPr>
                <w:rFonts w:hint="eastAsia" w:ascii="黑体" w:hAnsi="黑体" w:eastAsia="黑体"/>
                <w:sz w:val="22"/>
              </w:rPr>
              <w:t>结算方式</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现金结算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0"/>
              <w:numPr>
                <w:ilvl w:val="0"/>
                <w:numId w:val="4"/>
              </w:numPr>
              <w:spacing w:line="276" w:lineRule="auto"/>
              <w:ind w:firstLineChars="0"/>
              <w:rPr>
                <w:rFonts w:ascii="黑体" w:hAnsi="黑体" w:eastAsia="黑体"/>
                <w:sz w:val="22"/>
              </w:rPr>
            </w:pPr>
            <w:r>
              <w:rPr>
                <w:rFonts w:hint="eastAsia" w:ascii="黑体" w:hAnsi="黑体" w:eastAsia="黑体"/>
                <w:sz w:val="22"/>
              </w:rPr>
              <w:t>期权费</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 xml:space="preserve">名义金额 </w:t>
            </w:r>
            <m:oMath>
              <m:r>
                <m:rPr/>
                <w:rPr>
                  <w:rFonts w:ascii="Cambria Math" w:hAnsi="Cambria Math" w:eastAsia="楷体"/>
                  <w:sz w:val="22"/>
                </w:rPr>
                <m:t>×</m:t>
              </m:r>
            </m:oMath>
            <w:r>
              <w:rPr>
                <w:rFonts w:hint="eastAsia" w:ascii="楷体" w:hAnsi="楷体" w:eastAsia="楷体"/>
                <w:sz w:val="22"/>
              </w:rPr>
              <w:t xml:space="preserve"> 期权费率，四舍五入精确到小数点后第二位；买方向卖方支付期权费。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2835" w:type="dxa"/>
            <w:tcBorders>
              <w:top w:val="nil"/>
              <w:left w:val="nil"/>
              <w:bottom w:val="nil"/>
            </w:tcBorders>
          </w:tcPr>
          <w:p>
            <w:pPr>
              <w:pStyle w:val="10"/>
              <w:numPr>
                <w:ilvl w:val="0"/>
                <w:numId w:val="4"/>
              </w:numPr>
              <w:spacing w:line="276" w:lineRule="auto"/>
              <w:ind w:firstLineChars="0"/>
              <w:rPr>
                <w:rFonts w:ascii="黑体" w:hAnsi="黑体" w:eastAsia="黑体"/>
                <w:sz w:val="22"/>
              </w:rPr>
            </w:pPr>
            <w:r>
              <w:rPr>
                <w:rFonts w:hint="eastAsia" w:ascii="黑体" w:hAnsi="黑体" w:eastAsia="黑体"/>
                <w:sz w:val="22"/>
              </w:rPr>
              <w:t>期权费结算日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起始日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76" w:hRule="atLeast"/>
        </w:trPr>
        <w:tc>
          <w:tcPr>
            <w:tcW w:w="2835" w:type="dxa"/>
            <w:tcBorders>
              <w:top w:val="nil"/>
              <w:left w:val="nil"/>
              <w:bottom w:val="nil"/>
            </w:tcBorders>
          </w:tcPr>
          <w:p>
            <w:pPr>
              <w:pStyle w:val="10"/>
              <w:numPr>
                <w:ilvl w:val="0"/>
                <w:numId w:val="4"/>
              </w:numPr>
              <w:spacing w:line="276" w:lineRule="auto"/>
              <w:ind w:firstLineChars="0"/>
              <w:rPr>
                <w:rFonts w:ascii="黑体" w:hAnsi="黑体" w:eastAsia="黑体"/>
                <w:sz w:val="22"/>
              </w:rPr>
            </w:pPr>
            <w:r>
              <w:rPr>
                <w:rFonts w:hint="eastAsia" w:ascii="黑体" w:hAnsi="黑体" w:eastAsia="黑体"/>
                <w:sz w:val="22"/>
              </w:rPr>
              <w:t>行权收益</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名义金额</w:t>
            </w:r>
            <w:r>
              <w:rPr>
                <w:rFonts w:ascii="楷体" w:hAnsi="楷体" w:eastAsia="楷体"/>
                <w:sz w:val="22"/>
              </w:rPr>
              <w:t xml:space="preserve"> × MAX( ω × (行权时标的价格 – 执行价格)，0) / 期初价格；交易方向是看涨时， ω= 1，交易方向是看跌时， ω= -1；四舍五入精确到小数点后第二位。卖方向买方支付行权收益。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2835" w:type="dxa"/>
            <w:tcBorders>
              <w:top w:val="nil"/>
              <w:left w:val="nil"/>
              <w:bottom w:val="nil"/>
            </w:tcBorders>
          </w:tcPr>
          <w:p>
            <w:pPr>
              <w:pStyle w:val="10"/>
              <w:numPr>
                <w:ilvl w:val="0"/>
                <w:numId w:val="4"/>
              </w:numPr>
              <w:spacing w:line="276" w:lineRule="auto"/>
              <w:ind w:firstLineChars="0"/>
              <w:rPr>
                <w:rFonts w:ascii="黑体" w:hAnsi="黑体" w:eastAsia="黑体"/>
                <w:sz w:val="22"/>
              </w:rPr>
            </w:pPr>
            <w:r>
              <w:rPr>
                <w:rFonts w:hint="eastAsia" w:ascii="黑体" w:hAnsi="黑体" w:eastAsia="黑体"/>
                <w:sz w:val="22"/>
              </w:rPr>
              <w:t>行权结算日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行权日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17" w:hRule="atLeast"/>
        </w:trPr>
        <w:tc>
          <w:tcPr>
            <w:tcW w:w="2835" w:type="dxa"/>
            <w:tcBorders>
              <w:top w:val="nil"/>
              <w:left w:val="nil"/>
              <w:bottom w:val="single" w:color="auto" w:sz="12" w:space="0"/>
            </w:tcBorders>
          </w:tcPr>
          <w:p>
            <w:pPr>
              <w:pStyle w:val="10"/>
              <w:numPr>
                <w:ilvl w:val="0"/>
                <w:numId w:val="4"/>
              </w:numPr>
              <w:spacing w:line="276" w:lineRule="auto"/>
              <w:ind w:firstLineChars="0"/>
              <w:rPr>
                <w:rFonts w:ascii="黑体" w:hAnsi="黑体" w:eastAsia="黑体"/>
                <w:sz w:val="22"/>
              </w:rPr>
            </w:pPr>
            <w:r>
              <w:rPr>
                <w:rFonts w:hint="eastAsia" w:ascii="黑体" w:hAnsi="黑体" w:eastAsia="黑体"/>
                <w:sz w:val="22"/>
              </w:rPr>
              <w:t>结算支付</w:t>
            </w:r>
          </w:p>
        </w:tc>
        <w:tc>
          <w:tcPr>
            <w:tcW w:w="6901" w:type="dxa"/>
            <w:tcBorders>
              <w:top w:val="nil"/>
              <w:bottom w:val="single" w:color="auto" w:sz="12" w:space="0"/>
              <w:right w:val="nil"/>
            </w:tcBorders>
          </w:tcPr>
          <w:p>
            <w:pPr>
              <w:spacing w:line="276" w:lineRule="auto"/>
              <w:rPr>
                <w:rFonts w:ascii="楷体" w:hAnsi="楷体" w:eastAsia="楷体"/>
                <w:sz w:val="22"/>
              </w:rPr>
            </w:pPr>
            <w:r>
              <w:rPr>
                <w:rFonts w:hint="eastAsia" w:ascii="楷体" w:hAnsi="楷体" w:eastAsia="楷体"/>
                <w:sz w:val="22"/>
              </w:rPr>
              <w:t>乙方应收或应付的期权费和行权收益将在对应结算日增加或扣减乙方的预付资金账户余额；交易终止（提前行权或到期）予以释放的合格履约保障品金额体现在对乙方整体盯市合格履约保障品金额的调整；乙方应付停牌延期资金成本（或有，适用条件见第八条第</w:t>
            </w:r>
            <w:r>
              <w:rPr>
                <w:rFonts w:ascii="楷体" w:hAnsi="楷体" w:eastAsia="楷体"/>
                <w:sz w:val="22"/>
              </w:rPr>
              <w:t>2款）将扣减乙方的预付资金账户余额。在行权结算日（T日）结算后，甲方向乙方发送相关结算文件。结算文件中显示乙方预付资金账户中“应付资金”大于零的，乙方须及时支付现金至其归零；“可取资金”大于零的，乙方可申请提取现金。乙方收到相关结算文件后，根据其内容按要求进行现金支付或收取操作。</w:t>
            </w:r>
          </w:p>
        </w:tc>
      </w:tr>
    </w:tbl>
    <w:p>
      <w:pPr>
        <w:jc w:val="left"/>
        <w:rPr>
          <w:rFonts w:ascii="楷体" w:hAnsi="楷体" w:eastAsia="楷体"/>
          <w:sz w:val="24"/>
          <w:szCs w:val="24"/>
        </w:rPr>
        <w:sectPr>
          <w:pgSz w:w="11906" w:h="16838"/>
          <w:pgMar w:top="1440" w:right="1080" w:bottom="1440" w:left="1080" w:header="851" w:footer="992" w:gutter="0"/>
          <w:cols w:space="425" w:num="1"/>
          <w:docGrid w:type="lines" w:linePitch="312" w:charSpace="0"/>
        </w:sectPr>
      </w:pPr>
    </w:p>
    <w:tbl>
      <w:tblPr>
        <w:tblStyle w:val="7"/>
        <w:tblpPr w:leftFromText="180" w:rightFromText="180" w:vertAnchor="text" w:horzAnchor="margin" w:tblpY="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0"/>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通用条款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0"/>
              <w:numPr>
                <w:ilvl w:val="0"/>
                <w:numId w:val="5"/>
              </w:numPr>
              <w:spacing w:before="62" w:beforeLines="20" w:line="276" w:lineRule="auto"/>
              <w:ind w:firstLineChars="0"/>
              <w:rPr>
                <w:rFonts w:ascii="黑体" w:hAnsi="黑体" w:eastAsia="黑体"/>
                <w:sz w:val="22"/>
              </w:rPr>
            </w:pPr>
            <w:r>
              <w:rPr>
                <w:rFonts w:hint="eastAsia" w:ascii="黑体" w:hAnsi="黑体" w:eastAsia="黑体"/>
                <w:sz w:val="22"/>
              </w:rPr>
              <w:t>日历日</w:t>
            </w:r>
          </w:p>
        </w:tc>
        <w:tc>
          <w:tcPr>
            <w:tcW w:w="6901" w:type="dxa"/>
            <w:tcBorders>
              <w:top w:val="nil"/>
              <w:bottom w:val="nil"/>
              <w:right w:val="nil"/>
            </w:tcBorders>
          </w:tcPr>
          <w:p>
            <w:pPr>
              <w:spacing w:before="62" w:beforeLines="20" w:line="276" w:lineRule="auto"/>
              <w:rPr>
                <w:rFonts w:ascii="楷体" w:hAnsi="楷体" w:eastAsia="楷体"/>
                <w:sz w:val="22"/>
              </w:rPr>
            </w:pPr>
            <w:r>
              <w:rPr>
                <w:rFonts w:hint="eastAsia" w:ascii="楷体" w:hAnsi="楷体" w:eastAsia="楷体"/>
                <w:sz w:val="22"/>
              </w:rPr>
              <w:t>指日历上的日期，不剔除任何法定公休日和节假日。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nil"/>
            </w:tcBorders>
          </w:tcPr>
          <w:p>
            <w:pPr>
              <w:pStyle w:val="10"/>
              <w:numPr>
                <w:ilvl w:val="0"/>
                <w:numId w:val="5"/>
              </w:numPr>
              <w:spacing w:line="276" w:lineRule="auto"/>
              <w:ind w:firstLineChars="0"/>
              <w:rPr>
                <w:rFonts w:ascii="黑体" w:hAnsi="黑体" w:eastAsia="黑体"/>
                <w:sz w:val="22"/>
              </w:rPr>
            </w:pPr>
            <w:r>
              <w:rPr>
                <w:rFonts w:hint="eastAsia" w:ascii="黑体" w:hAnsi="黑体" w:eastAsia="黑体"/>
                <w:sz w:val="22"/>
              </w:rPr>
              <w:t>工作日（营业日）</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指中华人民共和国境内金融机构的对公业务对外正常营业的日期，不包含法定</w:t>
            </w:r>
            <w:bookmarkStart w:id="1" w:name="OLE_LINK1"/>
            <w:bookmarkStart w:id="2" w:name="OLE_LINK2"/>
            <w:r>
              <w:rPr>
                <w:rFonts w:hint="eastAsia" w:ascii="楷体" w:hAnsi="楷体" w:eastAsia="楷体"/>
                <w:sz w:val="22"/>
              </w:rPr>
              <w:t>公休日</w:t>
            </w:r>
            <w:bookmarkEnd w:id="1"/>
            <w:bookmarkEnd w:id="2"/>
            <w:r>
              <w:rPr>
                <w:rFonts w:hint="eastAsia" w:ascii="楷体" w:hAnsi="楷体" w:eastAsia="楷体"/>
                <w:sz w:val="22"/>
              </w:rPr>
              <w:t>、节假日和交易所公告休市的日期。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35" w:type="dxa"/>
            <w:tcBorders>
              <w:top w:val="nil"/>
              <w:left w:val="nil"/>
              <w:bottom w:val="nil"/>
            </w:tcBorders>
          </w:tcPr>
          <w:p>
            <w:pPr>
              <w:pStyle w:val="10"/>
              <w:numPr>
                <w:ilvl w:val="0"/>
                <w:numId w:val="5"/>
              </w:numPr>
              <w:spacing w:line="276" w:lineRule="auto"/>
              <w:ind w:firstLineChars="0"/>
              <w:rPr>
                <w:rFonts w:ascii="黑体" w:hAnsi="黑体" w:eastAsia="黑体"/>
                <w:sz w:val="22"/>
              </w:rPr>
            </w:pPr>
            <w:r>
              <w:rPr>
                <w:rFonts w:hint="eastAsia" w:ascii="黑体" w:hAnsi="黑体" w:eastAsia="黑体"/>
                <w:sz w:val="22"/>
              </w:rPr>
              <w:t>交易日</w:t>
            </w:r>
          </w:p>
        </w:tc>
        <w:tc>
          <w:tcPr>
            <w:tcW w:w="6901" w:type="dxa"/>
            <w:tcBorders>
              <w:top w:val="nil"/>
              <w:bottom w:val="nil"/>
              <w:right w:val="nil"/>
            </w:tcBorders>
          </w:tcPr>
          <w:p>
            <w:pPr>
              <w:spacing w:after="78" w:afterLines="25" w:line="276" w:lineRule="auto"/>
              <w:rPr>
                <w:rFonts w:ascii="楷体" w:hAnsi="楷体" w:eastAsia="楷体"/>
                <w:sz w:val="22"/>
              </w:rPr>
            </w:pPr>
            <w:r>
              <w:rPr>
                <w:rFonts w:hint="eastAsia" w:ascii="楷体" w:hAnsi="楷体" w:eastAsia="楷体"/>
                <w:sz w:val="22"/>
              </w:rPr>
              <w:t>交易所对外营业，正常开展证券期货交易并提供交易相关服务的日期。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835" w:type="dxa"/>
            <w:tcBorders>
              <w:top w:val="nil"/>
              <w:left w:val="nil"/>
              <w:bottom w:val="nil"/>
            </w:tcBorders>
          </w:tcPr>
          <w:p>
            <w:pPr>
              <w:pStyle w:val="10"/>
              <w:numPr>
                <w:ilvl w:val="0"/>
                <w:numId w:val="5"/>
              </w:numPr>
              <w:spacing w:line="276" w:lineRule="auto"/>
              <w:ind w:firstLineChars="0"/>
              <w:rPr>
                <w:rFonts w:ascii="黑体" w:hAnsi="黑体" w:eastAsia="黑体"/>
                <w:sz w:val="22"/>
              </w:rPr>
            </w:pPr>
            <w:r>
              <w:rPr>
                <w:rFonts w:hint="eastAsia" w:ascii="黑体" w:hAnsi="黑体" w:eastAsia="黑体"/>
                <w:sz w:val="22"/>
              </w:rPr>
              <w:t>交易所</w:t>
            </w:r>
          </w:p>
        </w:tc>
        <w:tc>
          <w:tcPr>
            <w:tcW w:w="6901" w:type="dxa"/>
            <w:tcBorders>
              <w:top w:val="nil"/>
              <w:bottom w:val="nil"/>
              <w:right w:val="nil"/>
            </w:tcBorders>
          </w:tcPr>
          <w:p>
            <w:pPr>
              <w:spacing w:after="78" w:afterLines="25" w:line="276" w:lineRule="auto"/>
              <w:rPr>
                <w:rFonts w:ascii="楷体" w:hAnsi="楷体" w:eastAsia="楷体"/>
                <w:sz w:val="22"/>
              </w:rPr>
            </w:pPr>
            <w:r>
              <w:rPr>
                <w:rFonts w:hint="eastAsia" w:ascii="楷体" w:hAnsi="楷体" w:eastAsia="楷体"/>
                <w:sz w:val="22"/>
              </w:rPr>
              <w:t>交易挂钩的标的资产在中国境内上市交易的场所，包括上海证券交易所、深圳证券交易所、中国金融期货交易所、上海期货交易所、上海国际能源交易中心、大连商品交易所、郑州商品交易所。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2835" w:type="dxa"/>
            <w:tcBorders>
              <w:top w:val="nil"/>
              <w:left w:val="nil"/>
              <w:bottom w:val="single" w:color="auto" w:sz="12" w:space="0"/>
            </w:tcBorders>
          </w:tcPr>
          <w:p>
            <w:pPr>
              <w:pStyle w:val="10"/>
              <w:numPr>
                <w:ilvl w:val="0"/>
                <w:numId w:val="5"/>
              </w:numPr>
              <w:spacing w:line="276" w:lineRule="auto"/>
              <w:ind w:firstLineChars="0"/>
              <w:rPr>
                <w:rFonts w:ascii="黑体" w:hAnsi="黑体" w:eastAsia="黑体"/>
                <w:sz w:val="22"/>
              </w:rPr>
            </w:pPr>
            <w:r>
              <w:rPr>
                <w:rFonts w:hint="eastAsia" w:ascii="黑体" w:hAnsi="黑体" w:eastAsia="黑体"/>
                <w:sz w:val="22"/>
              </w:rPr>
              <w:t>计算机构</w:t>
            </w:r>
          </w:p>
        </w:tc>
        <w:tc>
          <w:tcPr>
            <w:tcW w:w="6901" w:type="dxa"/>
            <w:tcBorders>
              <w:top w:val="nil"/>
              <w:bottom w:val="single" w:color="auto" w:sz="12" w:space="0"/>
              <w:right w:val="nil"/>
            </w:tcBorders>
          </w:tcPr>
          <w:p>
            <w:pPr>
              <w:spacing w:line="276" w:lineRule="auto"/>
              <w:rPr>
                <w:rFonts w:ascii="楷体" w:hAnsi="楷体" w:eastAsia="楷体"/>
                <w:sz w:val="22"/>
              </w:rPr>
            </w:pPr>
            <w:r>
              <w:rPr>
                <w:rFonts w:hint="eastAsia" w:ascii="楷体" w:hAnsi="楷体" w:eastAsia="楷体"/>
                <w:sz w:val="22"/>
              </w:rPr>
              <w:t>甲方</w:t>
            </w:r>
          </w:p>
          <w:p>
            <w:pPr>
              <w:spacing w:line="276" w:lineRule="auto"/>
              <w:rPr>
                <w:rFonts w:ascii="楷体" w:hAnsi="楷体" w:eastAsia="楷体"/>
                <w:sz w:val="22"/>
              </w:rPr>
            </w:pPr>
            <w:r>
              <w:rPr>
                <w:rFonts w:hint="eastAsia" w:ascii="楷体" w:hAnsi="楷体" w:eastAsia="楷体"/>
                <w:sz w:val="22"/>
              </w:rPr>
              <w:t>计算机构应负责就本交易确认书中确认的交易</w:t>
            </w:r>
          </w:p>
          <w:p>
            <w:pPr>
              <w:pStyle w:val="10"/>
              <w:numPr>
                <w:ilvl w:val="0"/>
                <w:numId w:val="6"/>
              </w:numPr>
              <w:spacing w:line="276" w:lineRule="auto"/>
              <w:ind w:firstLineChars="0"/>
              <w:rPr>
                <w:rFonts w:ascii="楷体" w:hAnsi="楷体" w:eastAsia="楷体"/>
                <w:sz w:val="22"/>
              </w:rPr>
            </w:pPr>
            <w:r>
              <w:rPr>
                <w:rFonts w:hint="eastAsia" w:ascii="楷体" w:hAnsi="楷体" w:eastAsia="楷体"/>
                <w:sz w:val="22"/>
              </w:rPr>
              <w:t>计算并确定包括但不限于期初价格、执行价格、期末价格、行权时标的价格、行权收益、初始和盯市合格履约保障品金额、出质方出质的非现金合格履约保障品市值及其折扣率、资金成本（如适用）、提前终止报价（如适用）等价格或金额；</w:t>
            </w:r>
          </w:p>
          <w:p>
            <w:pPr>
              <w:pStyle w:val="10"/>
              <w:numPr>
                <w:ilvl w:val="0"/>
                <w:numId w:val="6"/>
              </w:numPr>
              <w:spacing w:line="276" w:lineRule="auto"/>
              <w:ind w:firstLineChars="0"/>
              <w:rPr>
                <w:rFonts w:ascii="楷体" w:hAnsi="楷体" w:eastAsia="楷体"/>
                <w:sz w:val="22"/>
              </w:rPr>
            </w:pPr>
            <w:r>
              <w:rPr>
                <w:rFonts w:hint="eastAsia" w:ascii="楷体" w:hAnsi="楷体" w:eastAsia="楷体"/>
                <w:sz w:val="22"/>
              </w:rPr>
              <w:t>向交易对手方发送相关结算文件，说明结算涉及的相关款项的金额、支付方、支付日期或期限，并适当说明计算依据；</w:t>
            </w:r>
          </w:p>
          <w:p>
            <w:pPr>
              <w:pStyle w:val="10"/>
              <w:numPr>
                <w:ilvl w:val="0"/>
                <w:numId w:val="6"/>
              </w:numPr>
              <w:spacing w:line="276" w:lineRule="auto"/>
              <w:ind w:firstLineChars="0"/>
              <w:rPr>
                <w:rFonts w:ascii="楷体" w:hAnsi="楷体" w:eastAsia="楷体"/>
                <w:sz w:val="22"/>
              </w:rPr>
            </w:pPr>
            <w:r>
              <w:rPr>
                <w:rFonts w:hint="eastAsia" w:ascii="楷体" w:hAnsi="楷体" w:eastAsia="楷体"/>
                <w:sz w:val="22"/>
              </w:rPr>
              <w:t>依据本交易确认书约定和相关市场惯例等信息判断和确定是否发生潜在调整事件、市场中断事件和异常事件，并进行相关的调整和处理；</w:t>
            </w:r>
          </w:p>
          <w:p>
            <w:pPr>
              <w:pStyle w:val="10"/>
              <w:numPr>
                <w:ilvl w:val="0"/>
                <w:numId w:val="6"/>
              </w:numPr>
              <w:spacing w:line="276" w:lineRule="auto"/>
              <w:ind w:firstLineChars="0"/>
              <w:rPr>
                <w:rFonts w:ascii="楷体" w:hAnsi="楷体" w:eastAsia="楷体"/>
                <w:sz w:val="22"/>
              </w:rPr>
            </w:pPr>
            <w:r>
              <w:rPr>
                <w:rFonts w:hint="eastAsia" w:ascii="楷体" w:hAnsi="楷体" w:eastAsia="楷体"/>
                <w:sz w:val="22"/>
              </w:rPr>
              <w:t>处理《</w:t>
            </w:r>
            <w:r>
              <w:rPr>
                <w:rFonts w:ascii="楷体" w:hAnsi="楷体" w:eastAsia="楷体"/>
                <w:sz w:val="22"/>
              </w:rPr>
              <w:t>SAC主补协议》和本交易确认书约定应由计算机构计算、决定的其他事项。</w:t>
            </w:r>
          </w:p>
          <w:p>
            <w:pPr>
              <w:spacing w:after="78" w:afterLines="25" w:line="276" w:lineRule="auto"/>
              <w:rPr>
                <w:rFonts w:ascii="楷体" w:hAnsi="楷体" w:eastAsia="楷体"/>
                <w:sz w:val="22"/>
              </w:rPr>
            </w:pPr>
            <w:r>
              <w:rPr>
                <w:rFonts w:hint="eastAsia" w:ascii="楷体" w:hAnsi="楷体" w:eastAsia="楷体"/>
                <w:sz w:val="22"/>
              </w:rPr>
              <w:t>计算机构应依据诚实信用、商业上合理的原则履行上述职责。双方认可，计算机构并非交易对方的受托人或顾问。</w:t>
            </w:r>
          </w:p>
        </w:tc>
      </w:tr>
    </w:tbl>
    <w:p>
      <w:pPr>
        <w:jc w:val="left"/>
        <w:rPr>
          <w:rFonts w:ascii="楷体" w:hAnsi="楷体" w:eastAsia="楷体"/>
          <w:sz w:val="24"/>
          <w:szCs w:val="24"/>
        </w:rPr>
      </w:pPr>
    </w:p>
    <w:p>
      <w:pPr>
        <w:jc w:val="left"/>
        <w:rPr>
          <w:rFonts w:ascii="楷体" w:hAnsi="楷体" w:eastAsia="楷体"/>
          <w:sz w:val="24"/>
          <w:szCs w:val="24"/>
        </w:rPr>
        <w:sectPr>
          <w:pgSz w:w="11906" w:h="16838"/>
          <w:pgMar w:top="1440" w:right="1080" w:bottom="1440" w:left="1080" w:header="851" w:footer="992" w:gutter="0"/>
          <w:cols w:space="425" w:num="1"/>
          <w:docGrid w:type="lines" w:linePitch="312" w:charSpace="0"/>
        </w:sectPr>
      </w:pPr>
    </w:p>
    <w:tbl>
      <w:tblPr>
        <w:tblStyle w:val="7"/>
        <w:tblpPr w:leftFromText="180" w:rightFromText="180" w:vertAnchor="text" w:tblpY="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0"/>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提前终止与异常处理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4" w:hRule="atLeast"/>
        </w:trPr>
        <w:tc>
          <w:tcPr>
            <w:tcW w:w="2835" w:type="dxa"/>
            <w:tcBorders>
              <w:top w:val="nil"/>
              <w:left w:val="nil"/>
              <w:bottom w:val="nil"/>
            </w:tcBorders>
          </w:tcPr>
          <w:p>
            <w:pPr>
              <w:pStyle w:val="10"/>
              <w:numPr>
                <w:ilvl w:val="0"/>
                <w:numId w:val="7"/>
              </w:numPr>
              <w:spacing w:before="62" w:beforeLines="20" w:line="276" w:lineRule="auto"/>
              <w:ind w:firstLineChars="0"/>
              <w:rPr>
                <w:rFonts w:ascii="黑体" w:hAnsi="黑体" w:eastAsia="黑体"/>
                <w:sz w:val="22"/>
              </w:rPr>
            </w:pPr>
            <w:r>
              <w:rPr>
                <w:rFonts w:hint="eastAsia" w:ascii="黑体" w:hAnsi="黑体" w:eastAsia="黑体"/>
                <w:sz w:val="22"/>
              </w:rPr>
              <w:t>甲方有权提前终止</w:t>
            </w:r>
          </w:p>
        </w:tc>
        <w:tc>
          <w:tcPr>
            <w:tcW w:w="6901" w:type="dxa"/>
            <w:tcBorders>
              <w:top w:val="nil"/>
              <w:bottom w:val="nil"/>
              <w:right w:val="nil"/>
            </w:tcBorders>
          </w:tcPr>
          <w:p>
            <w:pPr>
              <w:spacing w:before="62" w:beforeLines="20" w:line="276" w:lineRule="auto"/>
              <w:rPr>
                <w:rFonts w:ascii="楷体" w:hAnsi="楷体" w:eastAsia="楷体"/>
                <w:sz w:val="22"/>
              </w:rPr>
            </w:pPr>
            <w:r>
              <w:rPr>
                <w:rFonts w:hint="eastAsia" w:ascii="楷体" w:hAnsi="楷体" w:eastAsia="楷体"/>
                <w:sz w:val="22"/>
              </w:rPr>
              <w:t>当发生下列情形时，甲方有权提前终止与乙方的存续全部或部分场外衍生品交易：</w:t>
            </w:r>
          </w:p>
          <w:p>
            <w:pPr>
              <w:pStyle w:val="10"/>
              <w:numPr>
                <w:ilvl w:val="0"/>
                <w:numId w:val="8"/>
              </w:numPr>
              <w:spacing w:line="276" w:lineRule="auto"/>
              <w:ind w:firstLineChars="0"/>
              <w:rPr>
                <w:rFonts w:ascii="楷体" w:hAnsi="楷体" w:eastAsia="楷体"/>
                <w:sz w:val="22"/>
              </w:rPr>
            </w:pPr>
            <w:r>
              <w:rPr>
                <w:rFonts w:hint="eastAsia" w:ascii="楷体" w:hAnsi="楷体" w:eastAsia="楷体"/>
                <w:sz w:val="22"/>
              </w:rPr>
              <w:t>监管机构或自律性组织出台任何书面或口头的规则、规范、政策、通知、指令、指引、备忘录、意见或问答等，禁止或限制乙方从事场外衍生品交易；</w:t>
            </w:r>
          </w:p>
          <w:p>
            <w:pPr>
              <w:pStyle w:val="10"/>
              <w:numPr>
                <w:ilvl w:val="0"/>
                <w:numId w:val="8"/>
              </w:numPr>
              <w:spacing w:line="276" w:lineRule="auto"/>
              <w:ind w:firstLineChars="0"/>
              <w:rPr>
                <w:rFonts w:ascii="楷体" w:hAnsi="楷体" w:eastAsia="楷体"/>
                <w:sz w:val="22"/>
              </w:rPr>
            </w:pPr>
            <w:r>
              <w:rPr>
                <w:rFonts w:hint="eastAsia" w:ascii="楷体" w:hAnsi="楷体" w:eastAsia="楷体"/>
                <w:sz w:val="22"/>
              </w:rPr>
              <w:t>适用法律、法规、监管规则及其相关解释所适用的变化或不可抗力、政府行为等其他非甲方可以控制的事件导致甲方按照《</w:t>
            </w:r>
            <w:r>
              <w:rPr>
                <w:rFonts w:ascii="楷体" w:hAnsi="楷体" w:eastAsia="楷体"/>
                <w:sz w:val="22"/>
              </w:rPr>
              <w:t>SAC主补协议》及交易确认书继续执行场外衍生品交易的行为构成违法、违规，或甲方按照本交易确认书持有、取得和处置相关标的资产的行为变得不可能、不可行、构成违法或成本显著增加；</w:t>
            </w:r>
          </w:p>
          <w:p>
            <w:pPr>
              <w:pStyle w:val="10"/>
              <w:numPr>
                <w:ilvl w:val="0"/>
                <w:numId w:val="8"/>
              </w:numPr>
              <w:spacing w:line="276" w:lineRule="auto"/>
              <w:ind w:firstLineChars="0"/>
              <w:rPr>
                <w:rFonts w:ascii="楷体" w:hAnsi="楷体" w:eastAsia="楷体"/>
                <w:sz w:val="22"/>
              </w:rPr>
            </w:pPr>
            <w:r>
              <w:rPr>
                <w:rFonts w:hint="eastAsia" w:ascii="楷体" w:hAnsi="楷体" w:eastAsia="楷体"/>
                <w:sz w:val="22"/>
              </w:rPr>
              <w:t>若由于监管规则变化或市场干扰等不可抗力原因造成甲方无法实施与本交易确认书项下一笔或多笔交易相关的对冲风险安排（包括但不限于就为对冲风险而进行的对冲交易，无法完成对冲头寸的建仓、减仓、维持或终止对冲交易（包括标的资产处于长时间停牌或是出现连续多日收盘涨跌停），或对冲交易的成本显著提高（包括税费增加、汇率损失等）等）；</w:t>
            </w:r>
          </w:p>
          <w:p>
            <w:pPr>
              <w:pStyle w:val="10"/>
              <w:numPr>
                <w:ilvl w:val="0"/>
                <w:numId w:val="8"/>
              </w:numPr>
              <w:spacing w:line="276" w:lineRule="auto"/>
              <w:ind w:firstLineChars="0"/>
              <w:rPr>
                <w:rFonts w:ascii="楷体" w:hAnsi="楷体" w:eastAsia="楷体"/>
                <w:sz w:val="22"/>
              </w:rPr>
            </w:pPr>
            <w:r>
              <w:rPr>
                <w:rFonts w:hint="eastAsia" w:ascii="楷体" w:hAnsi="楷体" w:eastAsia="楷体"/>
                <w:sz w:val="22"/>
              </w:rPr>
              <w:t>根据《S</w:t>
            </w:r>
            <w:r>
              <w:rPr>
                <w:rFonts w:ascii="楷体" w:hAnsi="楷体" w:eastAsia="楷体"/>
                <w:sz w:val="22"/>
              </w:rPr>
              <w:t>AC</w:t>
            </w:r>
            <w:r>
              <w:rPr>
                <w:rFonts w:hint="eastAsia" w:ascii="楷体" w:hAnsi="楷体" w:eastAsia="楷体"/>
                <w:sz w:val="22"/>
              </w:rPr>
              <w:t>主补协议》甲方有权提前终止交易的其他情形；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2835" w:type="dxa"/>
            <w:tcBorders>
              <w:top w:val="nil"/>
              <w:left w:val="nil"/>
              <w:bottom w:val="nil"/>
            </w:tcBorders>
          </w:tcPr>
          <w:p>
            <w:pPr>
              <w:pStyle w:val="10"/>
              <w:numPr>
                <w:ilvl w:val="0"/>
                <w:numId w:val="7"/>
              </w:numPr>
              <w:spacing w:before="62" w:beforeLines="20" w:line="276" w:lineRule="auto"/>
              <w:ind w:firstLineChars="0"/>
              <w:rPr>
                <w:rFonts w:ascii="黑体" w:hAnsi="黑体" w:eastAsia="黑体"/>
                <w:sz w:val="22"/>
              </w:rPr>
            </w:pPr>
            <w:r>
              <w:rPr>
                <w:rFonts w:hint="eastAsia" w:ascii="黑体" w:hAnsi="黑体" w:eastAsia="黑体"/>
                <w:sz w:val="22"/>
              </w:rPr>
              <w:t>乙方要求提前终止</w:t>
            </w:r>
          </w:p>
        </w:tc>
        <w:tc>
          <w:tcPr>
            <w:tcW w:w="6901" w:type="dxa"/>
            <w:tcBorders>
              <w:top w:val="nil"/>
              <w:bottom w:val="nil"/>
              <w:right w:val="nil"/>
            </w:tcBorders>
          </w:tcPr>
          <w:p>
            <w:pPr>
              <w:spacing w:before="62" w:beforeLines="20" w:line="276" w:lineRule="auto"/>
              <w:rPr>
                <w:rFonts w:ascii="楷体" w:hAnsi="楷体" w:eastAsia="楷体"/>
                <w:sz w:val="22"/>
              </w:rPr>
            </w:pPr>
            <w:r>
              <w:rPr>
                <w:rFonts w:hint="eastAsia" w:ascii="楷体" w:hAnsi="楷体" w:eastAsia="楷体"/>
                <w:sz w:val="22"/>
              </w:rPr>
              <w:t>若在交易达成日（不含）至到期日（含）期间乙方要求提前终止全部或部分存续交易，甲方有权就乙方拟提前终止交易的价格和终止结算金额，参考内在价值和时间价值，本着公允公正的原则，向乙方提供报价，若乙方接受该价格且甲乙双方就终止交易的日期（“提前终止日”）和交易终止结算时间达成一致，则交易在前述提前终止日终止，交易双方应依据上述协商一致确定的价格、金额和时间进行结算。交易双方依据本款约定提前终止交易并不影响双方依据主协议进行的其他交易。</w:t>
            </w:r>
          </w:p>
          <w:p>
            <w:pPr>
              <w:spacing w:before="62" w:beforeLines="20" w:line="276" w:lineRule="auto"/>
              <w:rPr>
                <w:rFonts w:ascii="楷体" w:hAnsi="楷体" w:eastAsia="楷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1" w:hRule="atLeast"/>
        </w:trPr>
        <w:tc>
          <w:tcPr>
            <w:tcW w:w="2835" w:type="dxa"/>
            <w:tcBorders>
              <w:top w:val="nil"/>
              <w:left w:val="nil"/>
              <w:bottom w:val="single" w:color="auto" w:sz="12" w:space="0"/>
            </w:tcBorders>
          </w:tcPr>
          <w:p>
            <w:pPr>
              <w:pStyle w:val="10"/>
              <w:numPr>
                <w:ilvl w:val="0"/>
                <w:numId w:val="7"/>
              </w:numPr>
              <w:spacing w:line="276" w:lineRule="auto"/>
              <w:ind w:firstLineChars="0"/>
              <w:rPr>
                <w:rFonts w:ascii="黑体" w:hAnsi="黑体" w:eastAsia="黑体"/>
                <w:sz w:val="22"/>
              </w:rPr>
            </w:pPr>
            <w:r>
              <w:rPr>
                <w:rFonts w:hint="eastAsia" w:ascii="黑体" w:hAnsi="黑体" w:eastAsia="黑体"/>
                <w:sz w:val="22"/>
              </w:rPr>
              <w:t>异常事件及其处理</w:t>
            </w:r>
          </w:p>
        </w:tc>
        <w:tc>
          <w:tcPr>
            <w:tcW w:w="6901" w:type="dxa"/>
            <w:tcBorders>
              <w:top w:val="nil"/>
              <w:bottom w:val="single" w:color="auto" w:sz="12" w:space="0"/>
              <w:right w:val="nil"/>
            </w:tcBorders>
          </w:tcPr>
          <w:p>
            <w:pPr>
              <w:spacing w:after="62" w:afterLines="20" w:line="276" w:lineRule="auto"/>
              <w:rPr>
                <w:rFonts w:ascii="楷体" w:hAnsi="楷体" w:eastAsia="楷体"/>
                <w:sz w:val="22"/>
              </w:rPr>
            </w:pPr>
            <w:r>
              <w:rPr>
                <w:rFonts w:hint="eastAsia" w:ascii="楷体" w:hAnsi="楷体" w:eastAsia="楷体"/>
                <w:sz w:val="22"/>
              </w:rPr>
              <w:t>若标的资产发生吸收合并、要约收购、国有化或其发行人无偿债能力、标的资产暂停上市、终止上市、被特别处理（</w:t>
            </w:r>
            <w:r>
              <w:rPr>
                <w:rFonts w:ascii="楷体" w:hAnsi="楷体" w:eastAsia="楷体"/>
                <w:sz w:val="22"/>
              </w:rPr>
              <w:t>ST）、被实施退市风险警示（*ST）或被实施其他风险警示等事件的，在不影响双方在《SAC主补协议》以及本确认书享有的其他权利前提下，甲乙双方可协商一致提前终止交易；双方协商一致确定的终止日期为“提前终止日”。甲方应依据本条本款的约定，参考内在价值和时间价值，本着公允公正的原则，在提前终止日结算提前终止款项。</w:t>
            </w:r>
          </w:p>
        </w:tc>
      </w:tr>
    </w:tbl>
    <w:p>
      <w:pPr>
        <w:jc w:val="left"/>
        <w:rPr>
          <w:rFonts w:ascii="楷体" w:hAnsi="楷体" w:eastAsia="楷体"/>
          <w:sz w:val="24"/>
          <w:szCs w:val="24"/>
        </w:rPr>
      </w:pPr>
    </w:p>
    <w:p>
      <w:pPr>
        <w:jc w:val="left"/>
        <w:rPr>
          <w:rStyle w:val="16"/>
        </w:rPr>
      </w:pPr>
      <w:r>
        <w:rPr>
          <w:rFonts w:ascii="楷体" w:hAnsi="楷体" w:eastAsia="楷体"/>
          <w:sz w:val="24"/>
          <w:szCs w:val="24"/>
        </w:rPr>
        <w:br w:type="page"/>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0"/>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潜在调整事件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4" w:space="0"/>
              <w:right w:val="nil"/>
            </w:tcBorders>
          </w:tcPr>
          <w:p>
            <w:pPr>
              <w:spacing w:before="93" w:beforeLines="30" w:after="78" w:afterLines="25" w:line="276" w:lineRule="auto"/>
              <w:ind w:firstLine="440" w:firstLineChars="200"/>
              <w:rPr>
                <w:rFonts w:ascii="楷体" w:hAnsi="楷体" w:eastAsia="楷体"/>
                <w:sz w:val="22"/>
              </w:rPr>
            </w:pPr>
            <w:r>
              <w:rPr>
                <w:rFonts w:hint="eastAsia" w:ascii="楷体" w:hAnsi="楷体" w:eastAsia="楷体"/>
                <w:sz w:val="22"/>
              </w:rPr>
              <w:t>若本交易确认书约定的一笔或多笔交易的标的资产在交易存续期内发生下述任一潜在调整事件，计算机构将参考交易所规则，判断该潜在调整事件是否对标的资产的理论价格构成稀释效应或者集中效应。若计算机构确认该潜在调整事件对标的资产的理论价格构成稀释效应或者集中效应，计算机构将依照事件发生的顺序依据下述方式对标的资产的期初价格进行调整（调整后的期初价格四舍五入保留四位小数），敲入价格、执行价格和敲出价格等也应基于调整后的期初价格计算并调整。</w:t>
            </w:r>
          </w:p>
          <w:p>
            <w:pPr>
              <w:spacing w:after="62" w:afterLines="20" w:line="276" w:lineRule="auto"/>
              <w:ind w:firstLine="440" w:firstLineChars="200"/>
              <w:rPr>
                <w:rFonts w:ascii="楷体" w:hAnsi="楷体" w:eastAsia="楷体"/>
                <w:sz w:val="22"/>
              </w:rPr>
            </w:pPr>
            <w:r>
              <w:rPr>
                <w:rFonts w:hint="eastAsia" w:ascii="楷体" w:hAnsi="楷体" w:eastAsia="楷体"/>
                <w:sz w:val="22"/>
              </w:rPr>
              <w:t>本条款中提及的“普通现金股息”、“特别股息”等均应依据与标的资产相关的市场惯例解释。</w:t>
            </w:r>
          </w:p>
          <w:p>
            <w:pPr>
              <w:spacing w:after="93" w:afterLines="30" w:line="276" w:lineRule="auto"/>
              <w:ind w:firstLine="440" w:firstLineChars="200"/>
              <w:rPr>
                <w:rFonts w:ascii="楷体" w:hAnsi="楷体" w:eastAsia="楷体"/>
                <w:sz w:val="22"/>
              </w:rPr>
            </w:pPr>
            <w:r>
              <w:rPr>
                <w:rFonts w:hint="eastAsia" w:ascii="楷体" w:hAnsi="楷体" w:eastAsia="楷体"/>
                <w:sz w:val="22"/>
              </w:rPr>
              <w:t>除下述情形外，若发生其他具有类似影响或效果的情形，双方同意基于上述约定确定的原则协商确定调整方法，计算机构保留对于调整方法的最终决定权。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835" w:type="dxa"/>
            <w:tcBorders>
              <w:top w:val="single" w:color="auto" w:sz="4" w:space="0"/>
              <w:left w:val="nil"/>
              <w:bottom w:val="nil"/>
            </w:tcBorders>
          </w:tcPr>
          <w:p>
            <w:pPr>
              <w:pStyle w:val="10"/>
              <w:numPr>
                <w:ilvl w:val="0"/>
                <w:numId w:val="9"/>
              </w:numPr>
              <w:spacing w:before="62" w:beforeLines="20" w:line="276" w:lineRule="auto"/>
              <w:ind w:firstLineChars="0"/>
              <w:rPr>
                <w:rFonts w:ascii="黑体" w:hAnsi="黑体" w:eastAsia="黑体"/>
                <w:sz w:val="22"/>
              </w:rPr>
            </w:pPr>
            <w:r>
              <w:rPr>
                <w:rFonts w:hint="eastAsia" w:ascii="黑体" w:hAnsi="黑体" w:eastAsia="黑体"/>
                <w:sz w:val="22"/>
              </w:rPr>
              <w:t>分配股息</w:t>
            </w:r>
          </w:p>
        </w:tc>
        <w:tc>
          <w:tcPr>
            <w:tcW w:w="6901" w:type="dxa"/>
            <w:tcBorders>
              <w:top w:val="single" w:color="auto" w:sz="4" w:space="0"/>
              <w:bottom w:val="nil"/>
              <w:right w:val="nil"/>
            </w:tcBorders>
          </w:tcPr>
          <w:p>
            <w:pPr>
              <w:spacing w:before="62" w:beforeLines="20" w:line="276" w:lineRule="auto"/>
              <w:rPr>
                <w:rFonts w:ascii="楷体" w:hAnsi="楷体" w:eastAsia="楷体"/>
                <w:sz w:val="22"/>
              </w:rPr>
            </w:pPr>
            <w:r>
              <w:rPr>
                <w:rFonts w:hint="eastAsia" w:ascii="楷体" w:hAnsi="楷体" w:eastAsia="楷体"/>
                <w:sz w:val="22"/>
              </w:rPr>
              <w:t>当标的资产分配普通现金股息和特别股息时，计算机构有权依据自身判断，本着诚实信用和商业上合理的原则，决定是否于除息日对本交易进行调整。如果计算机构决定进行调整，则有：</w:t>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p>
          <w:p>
            <w:pPr>
              <w:spacing w:before="62" w:beforeLines="20" w:line="276" w:lineRule="auto"/>
              <w:rPr>
                <w:rFonts w:ascii="楷体" w:hAnsi="楷体" w:eastAsia="楷体"/>
                <w:sz w:val="22"/>
              </w:rPr>
            </w:pPr>
            <w:r>
              <w:rPr>
                <w:rFonts w:hint="eastAsia" w:ascii="楷体" w:hAnsi="楷体" w:eastAsia="楷体"/>
                <w:sz w:val="22"/>
              </w:rPr>
              <w:t>调整后期初价格</w:t>
            </w:r>
            <w:r>
              <w:rPr>
                <w:rFonts w:ascii="楷体" w:hAnsi="楷体" w:eastAsia="楷体"/>
                <w:sz w:val="22"/>
              </w:rPr>
              <w:t xml:space="preserve"> = 调整前期初价格 × (除息前一交易日标的资产收盘价 - 每股标的资产股息) / 除息前一交易日标的资产收盘价。</w:t>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r>
              <w:rPr>
                <w:rFonts w:ascii="楷体" w:hAnsi="楷体" w:eastAsia="楷体"/>
                <w:sz w:val="22"/>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2835" w:type="dxa"/>
            <w:tcBorders>
              <w:top w:val="nil"/>
              <w:left w:val="nil"/>
              <w:bottom w:val="nil"/>
            </w:tcBorders>
          </w:tcPr>
          <w:p>
            <w:pPr>
              <w:pStyle w:val="10"/>
              <w:numPr>
                <w:ilvl w:val="0"/>
                <w:numId w:val="9"/>
              </w:numPr>
              <w:spacing w:line="276" w:lineRule="auto"/>
              <w:ind w:firstLineChars="0"/>
              <w:rPr>
                <w:rFonts w:ascii="黑体" w:hAnsi="黑体" w:eastAsia="黑体"/>
                <w:sz w:val="22"/>
              </w:rPr>
            </w:pPr>
            <w:r>
              <w:rPr>
                <w:rFonts w:hint="eastAsia" w:ascii="黑体" w:hAnsi="黑体" w:eastAsia="黑体"/>
                <w:sz w:val="22"/>
              </w:rPr>
              <w:t>配股</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若标的资产在交易存续期内发生配股，由于市场风险、可操作性等方面原因，甲方作为对冲方不主动参与配股，因此甲方作为计算机构不对本交易的标的资产期初价格进行调整。若乙方有意参与配股，需最晚在配股缴款终止日前三个交易日向甲方提出配股要求，后甲方根据实际对冲的持仓情况向乙方提供最大可配股数，乙方可在该范围内与甲方商定配股细节，甲方作为计算机构对本交易的标的资产期初价格进行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2835" w:type="dxa"/>
            <w:tcBorders>
              <w:top w:val="nil"/>
              <w:left w:val="nil"/>
              <w:bottom w:val="single" w:color="auto" w:sz="12" w:space="0"/>
            </w:tcBorders>
          </w:tcPr>
          <w:p>
            <w:pPr>
              <w:pStyle w:val="10"/>
              <w:numPr>
                <w:ilvl w:val="0"/>
                <w:numId w:val="9"/>
              </w:numPr>
              <w:spacing w:line="276" w:lineRule="auto"/>
              <w:ind w:firstLineChars="0"/>
              <w:rPr>
                <w:rFonts w:ascii="黑体" w:hAnsi="黑体" w:eastAsia="黑体"/>
                <w:sz w:val="22"/>
              </w:rPr>
            </w:pPr>
            <w:r>
              <w:rPr>
                <w:rFonts w:hint="eastAsia" w:ascii="黑体" w:hAnsi="黑体" w:eastAsia="黑体"/>
                <w:sz w:val="22"/>
              </w:rPr>
              <w:t>其他调整</w:t>
            </w:r>
          </w:p>
        </w:tc>
        <w:tc>
          <w:tcPr>
            <w:tcW w:w="6901" w:type="dxa"/>
            <w:tcBorders>
              <w:top w:val="nil"/>
              <w:bottom w:val="single" w:color="auto" w:sz="12" w:space="0"/>
              <w:right w:val="nil"/>
            </w:tcBorders>
          </w:tcPr>
          <w:p>
            <w:pPr>
              <w:spacing w:after="78" w:afterLines="25" w:line="276" w:lineRule="auto"/>
              <w:rPr>
                <w:rFonts w:ascii="楷体" w:hAnsi="楷体" w:eastAsia="楷体"/>
                <w:sz w:val="22"/>
              </w:rPr>
            </w:pPr>
            <w:r>
              <w:rPr>
                <w:rFonts w:hint="eastAsia" w:ascii="楷体" w:hAnsi="楷体" w:eastAsia="楷体"/>
                <w:sz w:val="22"/>
              </w:rPr>
              <w:t>当标的资产发生送股（即红股或股票股息）、份额拆分、公积金转增股本或者合并等情况时，计算机构将对交易要素进行调整，包括但不限于对期初价格采用向前复权的方法进行除权除息处理和相应调整期初价格，以消除该事件对标的资产理论价格构成的稀释效应或者集中效应，调整后的期初价格</w:t>
            </w:r>
            <w:r>
              <w:rPr>
                <w:rFonts w:ascii="楷体" w:hAnsi="楷体" w:eastAsia="楷体"/>
                <w:sz w:val="22"/>
              </w:rPr>
              <w:t xml:space="preserve"> = 调整前期初价格 /（1 + 流通股份变动比例）。</w:t>
            </w:r>
          </w:p>
        </w:tc>
      </w:tr>
    </w:tbl>
    <w:p>
      <w:pPr>
        <w:jc w:val="left"/>
        <w:rPr>
          <w:rFonts w:ascii="楷体" w:hAnsi="楷体" w:eastAsia="楷体"/>
          <w:sz w:val="24"/>
          <w:szCs w:val="24"/>
        </w:rPr>
      </w:pPr>
      <w:r>
        <w:rPr>
          <w:rFonts w:ascii="楷体" w:hAnsi="楷体" w:eastAsia="楷体"/>
          <w:sz w:val="24"/>
          <w:szCs w:val="24"/>
        </w:rPr>
        <w:br w:type="page"/>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0"/>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市场中断事件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26" w:hRule="atLeast"/>
        </w:trPr>
        <w:tc>
          <w:tcPr>
            <w:tcW w:w="2835" w:type="dxa"/>
            <w:tcBorders>
              <w:top w:val="single" w:color="auto" w:sz="4" w:space="0"/>
              <w:left w:val="nil"/>
              <w:bottom w:val="nil"/>
            </w:tcBorders>
          </w:tcPr>
          <w:p>
            <w:pPr>
              <w:pStyle w:val="10"/>
              <w:numPr>
                <w:ilvl w:val="0"/>
                <w:numId w:val="10"/>
              </w:numPr>
              <w:spacing w:before="62" w:beforeLines="20" w:line="276" w:lineRule="auto"/>
              <w:ind w:firstLineChars="0"/>
              <w:rPr>
                <w:rFonts w:ascii="黑体" w:hAnsi="黑体" w:eastAsia="黑体"/>
                <w:sz w:val="22"/>
              </w:rPr>
            </w:pPr>
            <w:r>
              <w:rPr>
                <w:rFonts w:hint="eastAsia" w:ascii="黑体" w:hAnsi="黑体" w:eastAsia="黑体"/>
                <w:sz w:val="22"/>
              </w:rPr>
              <w:t>市场中断事件</w:t>
            </w:r>
          </w:p>
        </w:tc>
        <w:tc>
          <w:tcPr>
            <w:tcW w:w="6901" w:type="dxa"/>
            <w:tcBorders>
              <w:top w:val="single" w:color="auto" w:sz="4" w:space="0"/>
              <w:bottom w:val="nil"/>
              <w:right w:val="nil"/>
            </w:tcBorders>
          </w:tcPr>
          <w:p>
            <w:pPr>
              <w:spacing w:line="276" w:lineRule="auto"/>
              <w:rPr>
                <w:rFonts w:ascii="楷体" w:hAnsi="楷体" w:eastAsia="楷体"/>
                <w:sz w:val="22"/>
              </w:rPr>
            </w:pPr>
            <w:r>
              <w:rPr>
                <w:rFonts w:hint="eastAsia" w:ascii="楷体" w:hAnsi="楷体" w:eastAsia="楷体"/>
                <w:sz w:val="22"/>
              </w:rPr>
              <w:t>市场中断事件是指标的资产在场外衍生品交易存续期间发生的影响计算机构观察标的资产收盘价格、对冲、交易等，或导致甲方无法有效交易标的资产对冲风险或交易对冲风险的成本显著增加（包括但不限于税务负担增加、汇率损失等）的特殊事件，包括但不限于：</w:t>
            </w:r>
          </w:p>
          <w:p>
            <w:pPr>
              <w:spacing w:line="276" w:lineRule="auto"/>
              <w:rPr>
                <w:rFonts w:ascii="楷体" w:hAnsi="楷体" w:eastAsia="楷体"/>
                <w:sz w:val="22"/>
              </w:rPr>
            </w:pPr>
            <w:r>
              <w:rPr>
                <w:rFonts w:ascii="楷体" w:hAnsi="楷体" w:eastAsia="楷体"/>
                <w:sz w:val="22"/>
              </w:rPr>
              <w:t>1) 标的资产发生闭市、提早闭市、标的停牌、交易中断、交易所中断等影响计算机构观察标的资产收盘价格、对冲、交易等的事件；</w:t>
            </w:r>
          </w:p>
          <w:p>
            <w:pPr>
              <w:spacing w:line="276" w:lineRule="auto"/>
              <w:rPr>
                <w:rFonts w:ascii="楷体" w:hAnsi="楷体" w:eastAsia="楷体"/>
                <w:sz w:val="22"/>
              </w:rPr>
            </w:pPr>
            <w:r>
              <w:rPr>
                <w:rFonts w:hint="eastAsia" w:ascii="楷体" w:hAnsi="楷体" w:eastAsia="楷体"/>
                <w:sz w:val="22"/>
              </w:rPr>
              <w:t>其中，“交易中断”指标的资产被其所属交易所采取暂停或限制交易的措施，包括但不限于停牌、盘中临时停牌、暂缓进入交收或技术性停牌等措施；</w:t>
            </w:r>
          </w:p>
          <w:p>
            <w:pPr>
              <w:spacing w:line="276" w:lineRule="auto"/>
              <w:rPr>
                <w:rFonts w:ascii="楷体" w:hAnsi="楷体" w:eastAsia="楷体"/>
                <w:sz w:val="22"/>
              </w:rPr>
            </w:pPr>
            <w:r>
              <w:rPr>
                <w:rFonts w:hint="eastAsia" w:ascii="楷体" w:hAnsi="楷体" w:eastAsia="楷体"/>
                <w:sz w:val="22"/>
              </w:rPr>
              <w:t>“交易所中断”指标的资产所属交易所发生实质性中断或影响全体市场参与者正常开展交易活动或获取市值的事件，包括但不限于涉及标的资产暂缓进入交收、技术性停牌及临时停市等事件，但提早闭市除外；</w:t>
            </w:r>
          </w:p>
          <w:p>
            <w:pPr>
              <w:spacing w:line="276" w:lineRule="auto"/>
              <w:rPr>
                <w:rFonts w:ascii="楷体" w:hAnsi="楷体" w:eastAsia="楷体"/>
                <w:sz w:val="22"/>
              </w:rPr>
            </w:pPr>
            <w:r>
              <w:rPr>
                <w:rFonts w:hint="eastAsia" w:ascii="楷体" w:hAnsi="楷体" w:eastAsia="楷体"/>
                <w:sz w:val="22"/>
              </w:rPr>
              <w:t>“提早闭市”指标的资产所属交易所在交易所交易日于预定收市时间之前闭市。</w:t>
            </w:r>
          </w:p>
          <w:p>
            <w:pPr>
              <w:spacing w:line="276" w:lineRule="auto"/>
              <w:rPr>
                <w:rFonts w:ascii="楷体" w:hAnsi="楷体" w:eastAsia="楷体"/>
                <w:sz w:val="22"/>
              </w:rPr>
            </w:pPr>
            <w:r>
              <w:rPr>
                <w:rFonts w:ascii="楷体" w:hAnsi="楷体" w:eastAsia="楷体"/>
                <w:sz w:val="22"/>
              </w:rPr>
              <w:t>2) 标的资产在交易时间内曾触及当日涨停价格、跌停价格等导致发行主体认定的无法有效交易标的资产对冲风险或交易对冲风险的成本显著增加的事件。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7" w:hRule="atLeast"/>
        </w:trPr>
        <w:tc>
          <w:tcPr>
            <w:tcW w:w="2835" w:type="dxa"/>
            <w:tcBorders>
              <w:top w:val="nil"/>
              <w:left w:val="nil"/>
              <w:bottom w:val="single" w:color="auto" w:sz="12" w:space="0"/>
            </w:tcBorders>
          </w:tcPr>
          <w:p>
            <w:pPr>
              <w:pStyle w:val="10"/>
              <w:numPr>
                <w:ilvl w:val="0"/>
                <w:numId w:val="10"/>
              </w:numPr>
              <w:spacing w:line="276" w:lineRule="auto"/>
              <w:ind w:firstLineChars="0"/>
              <w:rPr>
                <w:rFonts w:ascii="黑体" w:hAnsi="黑体" w:eastAsia="黑体"/>
                <w:sz w:val="22"/>
              </w:rPr>
            </w:pPr>
            <w:r>
              <w:rPr>
                <w:rFonts w:hint="eastAsia" w:ascii="黑体" w:hAnsi="黑体" w:eastAsia="黑体"/>
                <w:sz w:val="22"/>
              </w:rPr>
              <w:t>市场中断事件处理</w:t>
            </w:r>
          </w:p>
        </w:tc>
        <w:tc>
          <w:tcPr>
            <w:tcW w:w="6901" w:type="dxa"/>
            <w:tcBorders>
              <w:top w:val="nil"/>
              <w:bottom w:val="single" w:color="auto" w:sz="12" w:space="0"/>
              <w:right w:val="nil"/>
            </w:tcBorders>
          </w:tcPr>
          <w:p>
            <w:pPr>
              <w:spacing w:after="31" w:afterLines="10" w:line="276" w:lineRule="auto"/>
              <w:rPr>
                <w:rFonts w:ascii="楷体" w:hAnsi="楷体" w:eastAsia="楷体"/>
                <w:sz w:val="22"/>
              </w:rPr>
            </w:pPr>
            <w:r>
              <w:rPr>
                <w:rFonts w:hint="eastAsia" w:ascii="楷体" w:hAnsi="楷体" w:eastAsia="楷体"/>
                <w:sz w:val="22"/>
              </w:rPr>
              <w:t>计算机构有权根据其自身判断并依照诚信原则及商业合理惯例顺延与交易有关的日期，并以此作为结算依据。</w:t>
            </w:r>
          </w:p>
          <w:p>
            <w:pPr>
              <w:spacing w:after="31" w:afterLines="10" w:line="276" w:lineRule="auto"/>
              <w:rPr>
                <w:rFonts w:ascii="楷体" w:hAnsi="楷体" w:eastAsia="楷体"/>
                <w:sz w:val="22"/>
              </w:rPr>
            </w:pPr>
            <w:r>
              <w:rPr>
                <w:rFonts w:hint="eastAsia" w:ascii="楷体" w:hAnsi="楷体" w:eastAsia="楷体"/>
                <w:sz w:val="22"/>
              </w:rPr>
              <w:t>若标的资产在交易存续期间发生停牌、暂缓进行交收或技术性停牌事件，则停牌后的所有原定日期均按停牌交易日天数向后顺延。若标的资产在交易存续期内多次发生停牌，则按本条本款约定做多次顺延处理。新的日期以计算机构确认为准。若标的资产在到期日发生停牌的，交易展期至停牌标的复牌，并且到期日以甲方实际完成风险对冲为准。累计顺延的日历日天数不计入交易的实际存续天数。</w:t>
            </w:r>
          </w:p>
          <w:p>
            <w:pPr>
              <w:spacing w:after="31" w:afterLines="10" w:line="276" w:lineRule="auto"/>
              <w:rPr>
                <w:rFonts w:ascii="楷体" w:hAnsi="楷体" w:eastAsia="楷体"/>
                <w:sz w:val="22"/>
              </w:rPr>
            </w:pPr>
            <w:r>
              <w:rPr>
                <w:rFonts w:hint="eastAsia" w:ascii="楷体" w:hAnsi="楷体" w:eastAsia="楷体"/>
                <w:sz w:val="22"/>
              </w:rPr>
              <w:t>若标的资产在交易存续期间累计停牌超过</w:t>
            </w:r>
            <w:r>
              <w:rPr>
                <w:rFonts w:ascii="楷体" w:hAnsi="楷体" w:eastAsia="楷体"/>
                <w:sz w:val="22"/>
              </w:rPr>
              <w:t>10个日历日，则甲方有权要求乙方就受影响的标的资产向甲方支付资金成本, 资金成本 = 名义金额 × 5% × 延期日历日天数 / 365,四舍五入精确到小数点后第二位，在该笔交易结算时一并结算。</w:t>
            </w:r>
            <w:r>
              <w:rPr>
                <w:rFonts w:ascii="楷体" w:hAnsi="楷体" w:eastAsia="楷体"/>
                <w:sz w:val="22"/>
              </w:rPr>
              <w:tab/>
            </w:r>
          </w:p>
          <w:p>
            <w:pPr>
              <w:spacing w:line="276" w:lineRule="auto"/>
              <w:rPr>
                <w:rFonts w:ascii="楷体" w:hAnsi="楷体" w:eastAsia="楷体"/>
                <w:sz w:val="22"/>
              </w:rPr>
            </w:pPr>
            <w:r>
              <w:rPr>
                <w:rFonts w:hint="eastAsia" w:ascii="楷体" w:hAnsi="楷体" w:eastAsia="楷体"/>
                <w:sz w:val="22"/>
              </w:rPr>
              <w:t>若标的资产在原定到期日或根据本条本款上述约定规则顺延的到期日交易时间内曾触及跌停价格导致甲方无法有效交易标的资产以对冲风险或对冲风险的成本显著增加，到期日向后顺延至下一个不满足上述情形的交易日。调整后的到期日以计算机构确认为准。</w:t>
            </w:r>
          </w:p>
        </w:tc>
      </w:tr>
    </w:tbl>
    <w:p>
      <w:pPr>
        <w:jc w:val="left"/>
        <w:rPr>
          <w:rFonts w:ascii="楷体" w:hAnsi="楷体" w:eastAsia="楷体"/>
          <w:sz w:val="24"/>
          <w:szCs w:val="24"/>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6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36" w:type="dxa"/>
            <w:gridSpan w:val="2"/>
            <w:tcBorders>
              <w:top w:val="single" w:color="auto" w:sz="12" w:space="0"/>
              <w:left w:val="nil"/>
              <w:bottom w:val="single" w:color="auto" w:sz="12" w:space="0"/>
              <w:right w:val="nil"/>
            </w:tcBorders>
            <w:shd w:val="clear" w:color="auto" w:fill="D7D7D7" w:themeFill="background1" w:themeFillShade="D8"/>
            <w:vAlign w:val="center"/>
          </w:tcPr>
          <w:p>
            <w:pPr>
              <w:pStyle w:val="10"/>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账户信息和联系方式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2835" w:type="dxa"/>
            <w:tcBorders>
              <w:top w:val="nil"/>
              <w:left w:val="nil"/>
              <w:bottom w:val="nil"/>
            </w:tcBorders>
          </w:tcPr>
          <w:p>
            <w:pPr>
              <w:pStyle w:val="10"/>
              <w:numPr>
                <w:ilvl w:val="0"/>
                <w:numId w:val="11"/>
              </w:numPr>
              <w:spacing w:before="62" w:beforeLines="20" w:line="276" w:lineRule="auto"/>
              <w:ind w:firstLineChars="0"/>
              <w:rPr>
                <w:rFonts w:ascii="黑体" w:hAnsi="黑体" w:eastAsia="黑体"/>
                <w:sz w:val="22"/>
              </w:rPr>
            </w:pPr>
            <w:r>
              <w:rPr>
                <w:rFonts w:hint="eastAsia" w:ascii="黑体" w:hAnsi="黑体" w:eastAsia="黑体"/>
                <w:sz w:val="22"/>
              </w:rPr>
              <w:t>甲方账户信息</w:t>
            </w:r>
          </w:p>
        </w:tc>
        <w:tc>
          <w:tcPr>
            <w:tcW w:w="6901" w:type="dxa"/>
            <w:tcBorders>
              <w:top w:val="nil"/>
              <w:bottom w:val="nil"/>
              <w:right w:val="nil"/>
            </w:tcBorders>
          </w:tcPr>
          <w:p>
            <w:pPr>
              <w:spacing w:before="62" w:beforeLines="20" w:line="276" w:lineRule="auto"/>
              <w:rPr>
                <w:rFonts w:hint="eastAsia" w:ascii="楷体" w:hAnsi="楷体" w:eastAsia="楷体"/>
                <w:sz w:val="22"/>
                <w:lang w:eastAsia="zh-CN"/>
              </w:rPr>
            </w:pPr>
            <w:r>
              <w:rPr>
                <w:rFonts w:hint="eastAsia" w:ascii="楷体" w:hAnsi="楷体" w:eastAsia="楷体"/>
                <w:sz w:val="22"/>
              </w:rPr>
              <w:t>户名：{{甲方户名}}</w:t>
            </w:r>
          </w:p>
          <w:p>
            <w:pPr>
              <w:spacing w:line="276" w:lineRule="auto"/>
              <w:rPr>
                <w:rFonts w:ascii="楷体" w:hAnsi="楷体" w:eastAsia="楷体"/>
                <w:sz w:val="22"/>
              </w:rPr>
            </w:pPr>
            <w:r>
              <w:rPr>
                <w:rFonts w:hint="eastAsia" w:ascii="楷体" w:hAnsi="楷体" w:eastAsia="楷体"/>
                <w:sz w:val="22"/>
              </w:rPr>
              <w:t>开户行：{{甲方开户行}}</w:t>
            </w:r>
          </w:p>
          <w:p>
            <w:pPr>
              <w:spacing w:line="276" w:lineRule="auto"/>
              <w:rPr>
                <w:rFonts w:ascii="楷体" w:hAnsi="楷体" w:eastAsia="楷体"/>
                <w:sz w:val="22"/>
              </w:rPr>
            </w:pPr>
            <w:r>
              <w:rPr>
                <w:rFonts w:hint="eastAsia" w:ascii="楷体" w:hAnsi="楷体" w:eastAsia="楷体"/>
                <w:sz w:val="22"/>
              </w:rPr>
              <w:t>账号：{{甲方账号}}</w:t>
            </w:r>
          </w:p>
          <w:p>
            <w:pPr>
              <w:spacing w:line="276" w:lineRule="auto"/>
              <w:rPr>
                <w:rFonts w:ascii="楷体" w:hAnsi="楷体" w:eastAsia="楷体"/>
                <w:sz w:val="22"/>
              </w:rPr>
            </w:pPr>
            <w:r>
              <w:rPr>
                <w:rFonts w:hint="eastAsia" w:ascii="楷体" w:hAnsi="楷体" w:eastAsia="楷体"/>
                <w:sz w:val="22"/>
              </w:rPr>
              <w:t>支付系统号：{{甲方大额行号}}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2835" w:type="dxa"/>
            <w:tcBorders>
              <w:top w:val="nil"/>
              <w:left w:val="nil"/>
              <w:bottom w:val="nil"/>
            </w:tcBorders>
          </w:tcPr>
          <w:p>
            <w:pPr>
              <w:pStyle w:val="10"/>
              <w:numPr>
                <w:ilvl w:val="0"/>
                <w:numId w:val="11"/>
              </w:numPr>
              <w:spacing w:line="276" w:lineRule="auto"/>
              <w:ind w:firstLineChars="0"/>
              <w:rPr>
                <w:rFonts w:ascii="黑体" w:hAnsi="黑体" w:eastAsia="黑体"/>
                <w:sz w:val="22"/>
              </w:rPr>
            </w:pPr>
            <w:r>
              <w:rPr>
                <w:rFonts w:hint="eastAsia" w:ascii="黑体" w:hAnsi="黑体" w:eastAsia="黑体"/>
                <w:sz w:val="22"/>
              </w:rPr>
              <w:t>甲方联系方式</w:t>
            </w:r>
          </w:p>
        </w:tc>
        <w:tc>
          <w:tcPr>
            <w:tcW w:w="6901" w:type="dxa"/>
            <w:tcBorders>
              <w:top w:val="nil"/>
              <w:bottom w:val="nil"/>
              <w:right w:val="nil"/>
            </w:tcBorders>
          </w:tcPr>
          <w:p>
            <w:pPr>
              <w:spacing w:line="276" w:lineRule="auto"/>
              <w:rPr>
                <w:rFonts w:ascii="楷体" w:hAnsi="楷体" w:eastAsia="楷体"/>
                <w:sz w:val="22"/>
              </w:rPr>
            </w:pPr>
            <w:r>
              <w:rPr>
                <w:rFonts w:hint="eastAsia" w:ascii="楷体" w:hAnsi="楷体" w:eastAsia="楷体"/>
                <w:sz w:val="22"/>
              </w:rPr>
              <w:t>联系人：{{甲方联系人}}</w:t>
            </w:r>
          </w:p>
          <w:p>
            <w:pPr>
              <w:spacing w:line="276" w:lineRule="auto"/>
              <w:rPr>
                <w:rFonts w:ascii="楷体" w:hAnsi="楷体" w:eastAsia="楷体"/>
                <w:sz w:val="22"/>
              </w:rPr>
            </w:pPr>
            <w:r>
              <w:rPr>
                <w:rFonts w:hint="eastAsia" w:ascii="楷体" w:hAnsi="楷体" w:eastAsia="楷体"/>
                <w:sz w:val="22"/>
              </w:rPr>
              <w:t>联系地址：{{甲方地址}}</w:t>
            </w:r>
          </w:p>
          <w:p>
            <w:pPr>
              <w:spacing w:line="276" w:lineRule="auto"/>
              <w:rPr>
                <w:rFonts w:ascii="楷体" w:hAnsi="楷体" w:eastAsia="楷体"/>
                <w:sz w:val="22"/>
              </w:rPr>
            </w:pPr>
            <w:r>
              <w:rPr>
                <w:rFonts w:hint="eastAsia" w:ascii="楷体" w:hAnsi="楷体" w:eastAsia="楷体"/>
                <w:sz w:val="22"/>
              </w:rPr>
              <w:t>电子邮箱：{{甲方邮件}}</w:t>
            </w:r>
            <w:r>
              <w:rPr>
                <w:rFonts w:ascii="楷体" w:hAnsi="楷体" w:eastAsia="楷体"/>
                <w:sz w:val="22"/>
              </w:rPr>
              <w:t xml:space="preserve"> </w:t>
            </w:r>
          </w:p>
          <w:p>
            <w:pPr>
              <w:spacing w:line="276" w:lineRule="auto"/>
              <w:rPr>
                <w:rFonts w:ascii="楷体" w:hAnsi="楷体" w:eastAsia="楷体"/>
                <w:sz w:val="22"/>
              </w:rPr>
            </w:pPr>
            <w:r>
              <w:rPr>
                <w:rFonts w:hint="eastAsia" w:ascii="楷体" w:hAnsi="楷体" w:eastAsia="楷体"/>
                <w:sz w:val="22"/>
              </w:rPr>
              <w:t>联系电话：{{甲方电话}}</w:t>
            </w:r>
          </w:p>
          <w:p>
            <w:pPr>
              <w:spacing w:line="276" w:lineRule="auto"/>
              <w:rPr>
                <w:rFonts w:ascii="楷体" w:hAnsi="楷体" w:eastAsia="楷体"/>
                <w:sz w:val="22"/>
              </w:rPr>
            </w:pPr>
            <w:r>
              <w:rPr>
                <w:rFonts w:hint="eastAsia" w:ascii="楷体" w:hAnsi="楷体" w:eastAsia="楷体"/>
                <w:sz w:val="22"/>
              </w:rPr>
              <w:t>传真：{{甲方传真}}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2835" w:type="dxa"/>
            <w:tcBorders>
              <w:top w:val="nil"/>
              <w:left w:val="nil"/>
              <w:bottom w:val="nil"/>
            </w:tcBorders>
          </w:tcPr>
          <w:p>
            <w:pPr>
              <w:pStyle w:val="10"/>
              <w:numPr>
                <w:ilvl w:val="0"/>
                <w:numId w:val="11"/>
              </w:numPr>
              <w:spacing w:line="276" w:lineRule="auto"/>
              <w:ind w:firstLineChars="0"/>
              <w:rPr>
                <w:rFonts w:ascii="黑体" w:hAnsi="黑体" w:eastAsia="黑体"/>
                <w:sz w:val="22"/>
              </w:rPr>
            </w:pPr>
            <w:r>
              <w:rPr>
                <w:rFonts w:hint="eastAsia" w:ascii="黑体" w:hAnsi="黑体" w:eastAsia="黑体"/>
                <w:sz w:val="22"/>
              </w:rPr>
              <w:t>乙方账户信息</w:t>
            </w:r>
          </w:p>
        </w:tc>
        <w:tc>
          <w:tcPr>
            <w:tcW w:w="6901" w:type="dxa"/>
            <w:tcBorders>
              <w:top w:val="nil"/>
              <w:bottom w:val="nil"/>
              <w:right w:val="nil"/>
            </w:tcBorders>
          </w:tcPr>
          <w:p>
            <w:pPr>
              <w:spacing w:before="62" w:beforeLines="20" w:line="276" w:lineRule="auto"/>
              <w:rPr>
                <w:rFonts w:ascii="楷体" w:hAnsi="楷体" w:eastAsia="楷体"/>
                <w:sz w:val="22"/>
                <w:lang w:val="en-US"/>
              </w:rPr>
            </w:pPr>
            <w:r>
              <w:rPr>
                <w:rFonts w:hint="eastAsia" w:ascii="楷体" w:hAnsi="楷体" w:eastAsia="楷体"/>
                <w:sz w:val="22"/>
              </w:rPr>
              <w:t>户名：{{乙方户名}}</w:t>
            </w:r>
          </w:p>
          <w:p>
            <w:pPr>
              <w:spacing w:line="276" w:lineRule="auto"/>
              <w:rPr>
                <w:rFonts w:ascii="楷体" w:hAnsi="楷体" w:eastAsia="楷体"/>
                <w:sz w:val="22"/>
              </w:rPr>
            </w:pPr>
            <w:r>
              <w:rPr>
                <w:rFonts w:hint="eastAsia" w:ascii="楷体" w:hAnsi="楷体" w:eastAsia="楷体"/>
                <w:sz w:val="22"/>
              </w:rPr>
              <w:t>开户行：{{乙方开户行}}</w:t>
            </w:r>
          </w:p>
          <w:p>
            <w:pPr>
              <w:spacing w:line="276" w:lineRule="auto"/>
              <w:rPr>
                <w:rFonts w:ascii="楷体" w:hAnsi="楷体" w:eastAsia="楷体"/>
                <w:sz w:val="22"/>
              </w:rPr>
            </w:pPr>
            <w:r>
              <w:rPr>
                <w:rFonts w:hint="eastAsia" w:ascii="楷体" w:hAnsi="楷体" w:eastAsia="楷体"/>
                <w:sz w:val="22"/>
              </w:rPr>
              <w:t>账号：{{乙方账号}}</w:t>
            </w:r>
          </w:p>
          <w:p>
            <w:pPr>
              <w:spacing w:after="78" w:afterLines="25" w:line="276" w:lineRule="auto"/>
              <w:rPr>
                <w:rFonts w:ascii="楷体" w:hAnsi="楷体" w:eastAsia="楷体"/>
                <w:sz w:val="22"/>
              </w:rPr>
            </w:pPr>
            <w:r>
              <w:rPr>
                <w:rFonts w:hint="eastAsia" w:ascii="楷体" w:hAnsi="楷体" w:eastAsia="楷体"/>
                <w:sz w:val="22"/>
              </w:rPr>
              <w:t>支付系统号：{{乙方大额行号}}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4" w:hRule="atLeast"/>
        </w:trPr>
        <w:tc>
          <w:tcPr>
            <w:tcW w:w="2835" w:type="dxa"/>
            <w:tcBorders>
              <w:top w:val="nil"/>
              <w:left w:val="nil"/>
              <w:bottom w:val="single" w:color="auto" w:sz="12" w:space="0"/>
            </w:tcBorders>
          </w:tcPr>
          <w:p>
            <w:pPr>
              <w:pStyle w:val="10"/>
              <w:numPr>
                <w:ilvl w:val="0"/>
                <w:numId w:val="11"/>
              </w:numPr>
              <w:spacing w:line="276" w:lineRule="auto"/>
              <w:ind w:firstLineChars="0"/>
              <w:rPr>
                <w:rFonts w:ascii="黑体" w:hAnsi="黑体" w:eastAsia="黑体"/>
                <w:sz w:val="22"/>
              </w:rPr>
            </w:pPr>
            <w:r>
              <w:rPr>
                <w:rFonts w:hint="eastAsia" w:ascii="黑体" w:hAnsi="黑体" w:eastAsia="黑体"/>
                <w:sz w:val="22"/>
              </w:rPr>
              <w:t>乙方联系方式</w:t>
            </w:r>
          </w:p>
        </w:tc>
        <w:tc>
          <w:tcPr>
            <w:tcW w:w="6901" w:type="dxa"/>
            <w:tcBorders>
              <w:top w:val="nil"/>
              <w:bottom w:val="single" w:color="auto" w:sz="12" w:space="0"/>
              <w:right w:val="nil"/>
            </w:tcBorders>
          </w:tcPr>
          <w:p>
            <w:pPr>
              <w:spacing w:line="276" w:lineRule="auto"/>
              <w:rPr>
                <w:rFonts w:ascii="楷体" w:hAnsi="楷体" w:eastAsia="楷体"/>
                <w:sz w:val="22"/>
              </w:rPr>
            </w:pPr>
            <w:r>
              <w:rPr>
                <w:rFonts w:hint="eastAsia" w:ascii="楷体" w:hAnsi="楷体" w:eastAsia="楷体"/>
                <w:sz w:val="22"/>
              </w:rPr>
              <w:t>联系人：{{乙方联系人}}</w:t>
            </w:r>
          </w:p>
          <w:p>
            <w:pPr>
              <w:spacing w:line="276" w:lineRule="auto"/>
              <w:rPr>
                <w:rFonts w:ascii="楷体" w:hAnsi="楷体" w:eastAsia="楷体"/>
                <w:sz w:val="22"/>
              </w:rPr>
            </w:pPr>
            <w:r>
              <w:rPr>
                <w:rFonts w:hint="eastAsia" w:ascii="楷体" w:hAnsi="楷体" w:eastAsia="楷体"/>
                <w:sz w:val="22"/>
              </w:rPr>
              <w:t>联系地址：{{乙方地址}}</w:t>
            </w:r>
          </w:p>
          <w:p>
            <w:pPr>
              <w:spacing w:line="276" w:lineRule="auto"/>
              <w:rPr>
                <w:rFonts w:ascii="楷体" w:hAnsi="楷体" w:eastAsia="楷体"/>
                <w:sz w:val="22"/>
              </w:rPr>
            </w:pPr>
            <w:r>
              <w:rPr>
                <w:rFonts w:hint="eastAsia" w:ascii="楷体" w:hAnsi="楷体" w:eastAsia="楷体"/>
                <w:sz w:val="22"/>
              </w:rPr>
              <w:t>电子邮箱：{{乙方邮件}}</w:t>
            </w:r>
          </w:p>
          <w:p>
            <w:pPr>
              <w:spacing w:line="276" w:lineRule="auto"/>
              <w:rPr>
                <w:rFonts w:ascii="楷体" w:hAnsi="楷体" w:eastAsia="楷体"/>
                <w:sz w:val="22"/>
              </w:rPr>
            </w:pPr>
            <w:r>
              <w:rPr>
                <w:rFonts w:hint="eastAsia" w:ascii="楷体" w:hAnsi="楷体" w:eastAsia="楷体"/>
                <w:sz w:val="22"/>
              </w:rPr>
              <w:t>联系电话：{{乙方电话}}</w:t>
            </w:r>
          </w:p>
          <w:p>
            <w:pPr>
              <w:spacing w:line="276" w:lineRule="auto"/>
              <w:rPr>
                <w:rFonts w:ascii="楷体" w:hAnsi="楷体" w:eastAsia="楷体"/>
                <w:sz w:val="22"/>
              </w:rPr>
            </w:pPr>
            <w:r>
              <w:rPr>
                <w:rFonts w:hint="eastAsia" w:ascii="楷体" w:hAnsi="楷体" w:eastAsia="楷体"/>
                <w:sz w:val="22"/>
              </w:rPr>
              <w:t>传真：{{乙方传真}}</w:t>
            </w:r>
          </w:p>
        </w:tc>
      </w:tr>
    </w:tbl>
    <w:p>
      <w:pPr>
        <w:jc w:val="left"/>
        <w:rPr>
          <w:rFonts w:ascii="楷体" w:hAnsi="楷体" w:eastAsia="楷体"/>
          <w:sz w:val="24"/>
          <w:szCs w:val="24"/>
        </w:rPr>
      </w:pPr>
      <w:r>
        <w:rPr>
          <w:rFonts w:ascii="楷体" w:hAnsi="楷体" w:eastAsia="楷体"/>
          <w:sz w:val="24"/>
          <w:szCs w:val="24"/>
        </w:rPr>
        <w:br w:type="page"/>
      </w:r>
    </w:p>
    <w:tbl>
      <w:tblPr>
        <w:tblStyle w:val="7"/>
        <w:tblW w:w="0" w:type="auto"/>
        <w:tblInd w:w="0" w:type="dxa"/>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Layout w:type="autofit"/>
        <w:tblCellMar>
          <w:top w:w="0" w:type="dxa"/>
          <w:left w:w="108" w:type="dxa"/>
          <w:bottom w:w="0" w:type="dxa"/>
          <w:right w:w="108" w:type="dxa"/>
        </w:tblCellMar>
      </w:tblPr>
      <w:tblGrid>
        <w:gridCol w:w="9736"/>
      </w:tblGrid>
      <w:tr>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CellMar>
            <w:top w:w="0" w:type="dxa"/>
            <w:left w:w="108" w:type="dxa"/>
            <w:bottom w:w="0" w:type="dxa"/>
            <w:right w:w="108" w:type="dxa"/>
          </w:tblCellMar>
        </w:tblPrEx>
        <w:trPr>
          <w:trHeight w:val="680" w:hRule="atLeast"/>
        </w:trPr>
        <w:tc>
          <w:tcPr>
            <w:tcW w:w="9736" w:type="dxa"/>
            <w:shd w:val="clear" w:color="auto" w:fill="D7D7D7" w:themeFill="background1" w:themeFillShade="D8"/>
            <w:vAlign w:val="center"/>
          </w:tcPr>
          <w:p>
            <w:pPr>
              <w:pStyle w:val="10"/>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声明</w:t>
            </w:r>
          </w:p>
        </w:tc>
      </w:tr>
      <w:tr>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CellMar>
            <w:top w:w="0" w:type="dxa"/>
            <w:left w:w="108" w:type="dxa"/>
            <w:bottom w:w="0" w:type="dxa"/>
            <w:right w:w="108" w:type="dxa"/>
          </w:tblCellMar>
        </w:tblPrEx>
        <w:trPr>
          <w:trHeight w:val="12738" w:hRule="atLeast"/>
        </w:trPr>
        <w:tc>
          <w:tcPr>
            <w:tcW w:w="9736" w:type="dxa"/>
          </w:tcPr>
          <w:p>
            <w:pPr>
              <w:pStyle w:val="10"/>
              <w:numPr>
                <w:ilvl w:val="0"/>
                <w:numId w:val="12"/>
              </w:numPr>
              <w:spacing w:before="46" w:beforeLines="15" w:line="276" w:lineRule="auto"/>
              <w:ind w:left="357" w:hanging="357" w:firstLineChars="0"/>
              <w:rPr>
                <w:rFonts w:ascii="楷体" w:hAnsi="楷体" w:eastAsia="楷体"/>
                <w:sz w:val="22"/>
              </w:rPr>
            </w:pPr>
            <w:r>
              <w:rPr>
                <w:rFonts w:hint="eastAsia" w:ascii="楷体" w:hAnsi="楷体" w:eastAsia="楷体"/>
                <w:sz w:val="22"/>
              </w:rPr>
              <w:t>合规性声明</w:t>
            </w:r>
          </w:p>
          <w:p>
            <w:pPr>
              <w:spacing w:line="276" w:lineRule="auto"/>
              <w:rPr>
                <w:rFonts w:ascii="楷体" w:hAnsi="楷体" w:eastAsia="楷体"/>
                <w:sz w:val="22"/>
              </w:rPr>
            </w:pPr>
            <w:r>
              <w:rPr>
                <w:rFonts w:hint="eastAsia" w:ascii="楷体" w:hAnsi="楷体" w:eastAsia="楷体"/>
                <w:sz w:val="22"/>
              </w:rPr>
              <w:t>甲乙双方保证：</w:t>
            </w:r>
          </w:p>
          <w:p>
            <w:pPr>
              <w:pStyle w:val="10"/>
              <w:numPr>
                <w:ilvl w:val="0"/>
                <w:numId w:val="13"/>
              </w:numPr>
              <w:spacing w:line="276" w:lineRule="auto"/>
              <w:ind w:firstLineChars="0"/>
              <w:rPr>
                <w:rFonts w:ascii="楷体" w:hAnsi="楷体" w:eastAsia="楷体"/>
                <w:sz w:val="22"/>
              </w:rPr>
            </w:pPr>
            <w:r>
              <w:rPr>
                <w:rFonts w:ascii="楷体" w:hAnsi="楷体" w:eastAsia="楷体"/>
                <w:sz w:val="22"/>
              </w:rPr>
              <w:t>国家有关法律、法规、规章未禁止甲乙双方开展本交易确认书项下交易，甲乙双方开展本交易确认书项下交易符合国家有关法律法规以及监管/主管部门的有关规定，并已经获得开展该交易的相关授权；</w:t>
            </w:r>
          </w:p>
          <w:p>
            <w:pPr>
              <w:pStyle w:val="10"/>
              <w:numPr>
                <w:ilvl w:val="0"/>
                <w:numId w:val="13"/>
              </w:numPr>
              <w:spacing w:line="276" w:lineRule="auto"/>
              <w:ind w:firstLineChars="0"/>
              <w:rPr>
                <w:rFonts w:ascii="楷体" w:hAnsi="楷体" w:eastAsia="楷体"/>
                <w:sz w:val="22"/>
              </w:rPr>
            </w:pPr>
            <w:r>
              <w:rPr>
                <w:rFonts w:ascii="楷体" w:hAnsi="楷体" w:eastAsia="楷体"/>
                <w:sz w:val="22"/>
              </w:rPr>
              <w:t>甲乙双方参与本交易确认书项下交易所涉及资金、资产来源合法，保证发出的指令内容是合法合规的，且不得利用本交易从事规避法律法规相关要求及强制性规定的违规行为,包括但不限于：利用本交易规避信息披露、交易限制、操纵市场、涉嫌洗钱、恐怖融资等情形。</w:t>
            </w:r>
          </w:p>
          <w:p>
            <w:pPr>
              <w:pStyle w:val="10"/>
              <w:numPr>
                <w:ilvl w:val="0"/>
                <w:numId w:val="13"/>
              </w:numPr>
              <w:spacing w:line="276" w:lineRule="auto"/>
              <w:ind w:firstLineChars="0"/>
              <w:rPr>
                <w:rFonts w:ascii="楷体" w:hAnsi="楷体" w:eastAsia="楷体"/>
                <w:sz w:val="22"/>
              </w:rPr>
            </w:pPr>
            <w:r>
              <w:rPr>
                <w:rFonts w:ascii="楷体" w:hAnsi="楷体" w:eastAsia="楷体"/>
                <w:sz w:val="22"/>
              </w:rPr>
              <w:t>甲乙任何一方违反上述声明的，另一方将有权单方终止交易，由此导致的监管处罚和法律责任及所有费用和损失均由违反声明方承担。</w:t>
            </w:r>
          </w:p>
          <w:p>
            <w:pPr>
              <w:pStyle w:val="10"/>
              <w:numPr>
                <w:ilvl w:val="0"/>
                <w:numId w:val="12"/>
              </w:numPr>
              <w:spacing w:before="140" w:beforeLines="45" w:line="276" w:lineRule="auto"/>
              <w:ind w:left="357" w:hanging="357" w:firstLineChars="0"/>
              <w:rPr>
                <w:rFonts w:ascii="楷体" w:hAnsi="楷体" w:eastAsia="楷体"/>
                <w:sz w:val="22"/>
              </w:rPr>
            </w:pPr>
            <w:r>
              <w:rPr>
                <w:rFonts w:hint="eastAsia" w:ascii="楷体" w:hAnsi="楷体" w:eastAsia="楷体"/>
                <w:sz w:val="22"/>
              </w:rPr>
              <w:t>免责声明</w:t>
            </w:r>
          </w:p>
          <w:p>
            <w:pPr>
              <w:spacing w:line="276" w:lineRule="auto"/>
              <w:rPr>
                <w:rFonts w:ascii="楷体" w:hAnsi="楷体" w:eastAsia="楷体"/>
                <w:sz w:val="22"/>
              </w:rPr>
            </w:pPr>
            <w:r>
              <w:rPr>
                <w:rFonts w:hint="eastAsia" w:ascii="楷体" w:hAnsi="楷体" w:eastAsia="楷体"/>
                <w:sz w:val="22"/>
              </w:rPr>
              <w:t>甲乙双方不对对方的实际交易意图及不当行为后果承担任何法律责任，不当行为包括但不限于：</w:t>
            </w:r>
          </w:p>
          <w:p>
            <w:pPr>
              <w:pStyle w:val="10"/>
              <w:numPr>
                <w:ilvl w:val="0"/>
                <w:numId w:val="14"/>
              </w:numPr>
              <w:spacing w:line="276" w:lineRule="auto"/>
              <w:ind w:firstLineChars="0"/>
              <w:rPr>
                <w:rFonts w:ascii="楷体" w:hAnsi="楷体" w:eastAsia="楷体"/>
                <w:sz w:val="22"/>
              </w:rPr>
            </w:pPr>
            <w:r>
              <w:rPr>
                <w:rFonts w:hint="eastAsia" w:ascii="楷体" w:hAnsi="楷体" w:eastAsia="楷体"/>
                <w:sz w:val="22"/>
              </w:rPr>
              <w:t>单独或与他人合谋通过金融衍生品交易的方式或与其他方式配合进行市场操纵、监管套利等扰乱金融市场的行为；</w:t>
            </w:r>
          </w:p>
          <w:p>
            <w:pPr>
              <w:pStyle w:val="10"/>
              <w:numPr>
                <w:ilvl w:val="0"/>
                <w:numId w:val="14"/>
              </w:numPr>
              <w:spacing w:line="276" w:lineRule="auto"/>
              <w:ind w:firstLineChars="0"/>
              <w:rPr>
                <w:rFonts w:ascii="楷体" w:hAnsi="楷体" w:eastAsia="楷体"/>
                <w:sz w:val="22"/>
              </w:rPr>
            </w:pPr>
            <w:r>
              <w:rPr>
                <w:rFonts w:hint="eastAsia" w:ascii="楷体" w:hAnsi="楷体" w:eastAsia="楷体"/>
                <w:sz w:val="22"/>
              </w:rPr>
              <w:t>单独或与他人合谋通过衍生品交易的方式或与其他方式配合进行利益输送的行为；</w:t>
            </w:r>
          </w:p>
          <w:p>
            <w:pPr>
              <w:pStyle w:val="10"/>
              <w:numPr>
                <w:ilvl w:val="0"/>
                <w:numId w:val="14"/>
              </w:numPr>
              <w:spacing w:line="276" w:lineRule="auto"/>
              <w:ind w:firstLineChars="0"/>
              <w:rPr>
                <w:rFonts w:ascii="楷体" w:hAnsi="楷体" w:eastAsia="楷体"/>
                <w:sz w:val="22"/>
              </w:rPr>
            </w:pPr>
            <w:r>
              <w:rPr>
                <w:rFonts w:hint="eastAsia" w:ascii="楷体" w:hAnsi="楷体" w:eastAsia="楷体"/>
                <w:sz w:val="22"/>
              </w:rPr>
              <w:t>单独或为他人合谋通过衍生品交易的方式或与其他方式配合进行场外配资或杠杆投机，为他人提供通道的行为；</w:t>
            </w:r>
          </w:p>
          <w:p>
            <w:pPr>
              <w:pStyle w:val="10"/>
              <w:numPr>
                <w:ilvl w:val="0"/>
                <w:numId w:val="14"/>
              </w:numPr>
              <w:spacing w:line="276" w:lineRule="auto"/>
              <w:ind w:firstLineChars="0"/>
              <w:rPr>
                <w:rFonts w:ascii="楷体" w:hAnsi="楷体" w:eastAsia="楷体"/>
                <w:sz w:val="22"/>
              </w:rPr>
            </w:pPr>
            <w:r>
              <w:rPr>
                <w:rFonts w:hint="eastAsia" w:ascii="楷体" w:hAnsi="楷体" w:eastAsia="楷体"/>
                <w:sz w:val="22"/>
              </w:rPr>
              <w:t>其他法律、法规、监管规定、自律规则以及监管机构认为属于不正当的交易行为。</w:t>
            </w:r>
          </w:p>
          <w:p>
            <w:pPr>
              <w:pStyle w:val="10"/>
              <w:numPr>
                <w:ilvl w:val="0"/>
                <w:numId w:val="12"/>
              </w:numPr>
              <w:spacing w:before="140" w:beforeLines="45" w:line="276" w:lineRule="auto"/>
              <w:ind w:left="357" w:hanging="357" w:firstLineChars="0"/>
              <w:rPr>
                <w:rFonts w:ascii="楷体" w:hAnsi="楷体" w:eastAsia="楷体"/>
                <w:sz w:val="22"/>
              </w:rPr>
            </w:pPr>
            <w:r>
              <w:rPr>
                <w:rFonts w:hint="eastAsia" w:ascii="楷体" w:hAnsi="楷体" w:eastAsia="楷体"/>
                <w:sz w:val="22"/>
              </w:rPr>
              <w:t>签署人员授权声明</w:t>
            </w:r>
          </w:p>
          <w:p>
            <w:pPr>
              <w:pStyle w:val="10"/>
              <w:numPr>
                <w:ilvl w:val="0"/>
                <w:numId w:val="15"/>
              </w:numPr>
              <w:spacing w:line="276" w:lineRule="auto"/>
              <w:ind w:firstLineChars="0"/>
              <w:rPr>
                <w:rFonts w:ascii="楷体" w:hAnsi="楷体" w:eastAsia="楷体"/>
                <w:sz w:val="22"/>
              </w:rPr>
            </w:pPr>
            <w:r>
              <w:rPr>
                <w:rFonts w:hint="eastAsia" w:ascii="楷体" w:hAnsi="楷体" w:eastAsia="楷体"/>
                <w:sz w:val="22"/>
              </w:rPr>
              <w:t>签署交易确认书及相关文本的人员均具有有效授权。</w:t>
            </w:r>
          </w:p>
          <w:p>
            <w:pPr>
              <w:pStyle w:val="10"/>
              <w:numPr>
                <w:ilvl w:val="0"/>
                <w:numId w:val="15"/>
              </w:numPr>
              <w:spacing w:line="276" w:lineRule="auto"/>
              <w:ind w:firstLineChars="0"/>
              <w:rPr>
                <w:rFonts w:ascii="楷体" w:hAnsi="楷体" w:eastAsia="楷体"/>
                <w:sz w:val="22"/>
              </w:rPr>
            </w:pPr>
            <w:r>
              <w:rPr>
                <w:rFonts w:hint="eastAsia" w:ascii="楷体" w:hAnsi="楷体" w:eastAsia="楷体"/>
                <w:sz w:val="22"/>
              </w:rPr>
              <w:t>经“指定的指令下达及接收途径”下发出的指令均视为由双方授权代表下达的有效指令。</w:t>
            </w:r>
          </w:p>
          <w:p>
            <w:pPr>
              <w:pStyle w:val="10"/>
              <w:numPr>
                <w:ilvl w:val="0"/>
                <w:numId w:val="12"/>
              </w:numPr>
              <w:spacing w:before="140" w:beforeLines="45" w:line="276" w:lineRule="auto"/>
              <w:ind w:left="357" w:hanging="357" w:firstLineChars="0"/>
              <w:rPr>
                <w:rFonts w:ascii="楷体" w:hAnsi="楷体" w:eastAsia="楷体"/>
                <w:sz w:val="22"/>
              </w:rPr>
            </w:pPr>
            <w:r>
              <w:rPr>
                <w:rFonts w:hint="eastAsia" w:ascii="楷体" w:hAnsi="楷体" w:eastAsia="楷体"/>
                <w:sz w:val="22"/>
              </w:rPr>
              <w:t>风险承受能力声明</w:t>
            </w:r>
          </w:p>
          <w:p>
            <w:pPr>
              <w:pStyle w:val="10"/>
              <w:numPr>
                <w:ilvl w:val="0"/>
                <w:numId w:val="16"/>
              </w:numPr>
              <w:spacing w:line="276" w:lineRule="auto"/>
              <w:ind w:firstLineChars="0"/>
              <w:rPr>
                <w:rFonts w:ascii="楷体" w:hAnsi="楷体" w:eastAsia="楷体"/>
                <w:sz w:val="22"/>
              </w:rPr>
            </w:pPr>
            <w:r>
              <w:rPr>
                <w:rFonts w:ascii="楷体" w:hAnsi="楷体" w:eastAsia="楷体"/>
                <w:sz w:val="22"/>
              </w:rPr>
              <w:t>甲方和乙方确认，已完全了解本交易确认书项下交易的各种风险因素（包括但不限于市场风险、信用风险、流动性风险、操作风险、法律风险等）。经自主和独立判断，已经完全理解本交易确认书项下交易的条款和各种隐含风险，明确办理本交易确认书项下交易对乙方的法律、税务和财务会计影响，并确认办理本交易确认书项下交易符合乙方的交易目的。</w:t>
            </w:r>
          </w:p>
          <w:p>
            <w:pPr>
              <w:pStyle w:val="10"/>
              <w:numPr>
                <w:ilvl w:val="0"/>
                <w:numId w:val="16"/>
              </w:numPr>
              <w:spacing w:line="276" w:lineRule="auto"/>
              <w:ind w:firstLineChars="0"/>
              <w:rPr>
                <w:rFonts w:ascii="楷体" w:hAnsi="楷体" w:eastAsia="楷体"/>
                <w:sz w:val="22"/>
              </w:rPr>
            </w:pPr>
            <w:r>
              <w:rPr>
                <w:rFonts w:ascii="楷体" w:hAnsi="楷体" w:eastAsia="楷体"/>
                <w:sz w:val="22"/>
              </w:rPr>
              <w:t>甲方和乙方已经了解本交易确认书项下交易的最差情况及最大潜在亏损，并对此具有足够的承受能力。甲方和乙方保证不以潜在风险为理由拖延或拒绝履行协议文本项下交易的各项义务。</w:t>
            </w:r>
          </w:p>
          <w:p>
            <w:pPr>
              <w:pStyle w:val="10"/>
              <w:numPr>
                <w:ilvl w:val="0"/>
                <w:numId w:val="12"/>
              </w:numPr>
              <w:spacing w:before="156" w:beforeLines="50" w:line="276" w:lineRule="auto"/>
              <w:ind w:left="357" w:hanging="357" w:firstLineChars="0"/>
              <w:rPr>
                <w:rFonts w:ascii="楷体" w:hAnsi="楷体" w:eastAsia="楷体"/>
                <w:sz w:val="22"/>
              </w:rPr>
            </w:pPr>
            <w:r>
              <w:rPr>
                <w:rFonts w:hint="eastAsia" w:ascii="楷体" w:hAnsi="楷体" w:eastAsia="楷体"/>
                <w:sz w:val="22"/>
              </w:rPr>
              <w:t>其他声明</w:t>
            </w:r>
          </w:p>
          <w:p>
            <w:pPr>
              <w:pStyle w:val="10"/>
              <w:numPr>
                <w:ilvl w:val="0"/>
                <w:numId w:val="17"/>
              </w:numPr>
              <w:spacing w:line="276" w:lineRule="auto"/>
              <w:ind w:firstLineChars="0"/>
              <w:rPr>
                <w:rFonts w:ascii="楷体" w:hAnsi="楷体" w:eastAsia="楷体"/>
                <w:sz w:val="22"/>
              </w:rPr>
            </w:pPr>
            <w:r>
              <w:rPr>
                <w:rFonts w:hint="eastAsia" w:ascii="楷体" w:hAnsi="楷体" w:eastAsia="楷体"/>
                <w:sz w:val="22"/>
              </w:rPr>
              <w:t>由于各种风险因素的存在，甲乙双方理解其参与交易的目的不一定能够实现，上述后果由交易一方自行承担，交易另一方对此不提供担保也不承担任何责任。</w:t>
            </w:r>
          </w:p>
          <w:p>
            <w:pPr>
              <w:pStyle w:val="10"/>
              <w:numPr>
                <w:ilvl w:val="0"/>
                <w:numId w:val="17"/>
              </w:numPr>
              <w:spacing w:line="276" w:lineRule="auto"/>
              <w:ind w:firstLineChars="0"/>
              <w:rPr>
                <w:rFonts w:ascii="楷体" w:hAnsi="楷体" w:eastAsia="楷体"/>
                <w:sz w:val="22"/>
              </w:rPr>
            </w:pPr>
            <w:r>
              <w:rPr>
                <w:rFonts w:hint="eastAsia" w:ascii="楷体" w:hAnsi="楷体" w:eastAsia="楷体"/>
                <w:sz w:val="22"/>
              </w:rPr>
              <w:t>交易一方如出现《</w:t>
            </w:r>
            <w:r>
              <w:rPr>
                <w:rFonts w:ascii="楷体" w:hAnsi="楷体" w:eastAsia="楷体"/>
                <w:sz w:val="22"/>
              </w:rPr>
              <w:t>SAC主补协议》约定的违约事件，守约一方有权提前终止交易确认书所涉及的交易及适用于《SAC主补协议》的所有其他交易，违约一方有义务承担由此产生的所有费用和损失。</w:t>
            </w:r>
          </w:p>
        </w:tc>
      </w:tr>
    </w:tbl>
    <w:tbl>
      <w:tblPr>
        <w:tblStyle w:val="7"/>
        <w:tblpPr w:leftFromText="180" w:rightFromText="180" w:vertAnchor="text" w:horzAnchor="margin" w:tblpY="16"/>
        <w:tblW w:w="0" w:type="auto"/>
        <w:tblInd w:w="0" w:type="dxa"/>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Layout w:type="autofit"/>
        <w:tblCellMar>
          <w:top w:w="0" w:type="dxa"/>
          <w:left w:w="108" w:type="dxa"/>
          <w:bottom w:w="0" w:type="dxa"/>
          <w:right w:w="108" w:type="dxa"/>
        </w:tblCellMar>
      </w:tblPr>
      <w:tblGrid>
        <w:gridCol w:w="4868"/>
        <w:gridCol w:w="4868"/>
      </w:tblGrid>
      <w:tr>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CellMar>
            <w:top w:w="0" w:type="dxa"/>
            <w:left w:w="108" w:type="dxa"/>
            <w:bottom w:w="0" w:type="dxa"/>
            <w:right w:w="108" w:type="dxa"/>
          </w:tblCellMar>
        </w:tblPrEx>
        <w:trPr>
          <w:trHeight w:val="680" w:hRule="atLeast"/>
        </w:trPr>
        <w:tc>
          <w:tcPr>
            <w:tcW w:w="9736" w:type="dxa"/>
            <w:gridSpan w:val="2"/>
            <w:tcBorders>
              <w:bottom w:val="single" w:color="auto" w:sz="12" w:space="0"/>
            </w:tcBorders>
            <w:shd w:val="clear" w:color="auto" w:fill="D7D7D7" w:themeFill="background1" w:themeFillShade="D8"/>
            <w:vAlign w:val="center"/>
          </w:tcPr>
          <w:p>
            <w:pPr>
              <w:pStyle w:val="10"/>
              <w:numPr>
                <w:ilvl w:val="0"/>
                <w:numId w:val="1"/>
              </w:numPr>
              <w:spacing w:line="276" w:lineRule="auto"/>
              <w:ind w:firstLineChars="0"/>
              <w:rPr>
                <w:rFonts w:ascii="黑体" w:hAnsi="黑体" w:eastAsia="黑体"/>
                <w:sz w:val="24"/>
                <w:szCs w:val="24"/>
              </w:rPr>
            </w:pPr>
            <w:r>
              <w:rPr>
                <w:rFonts w:hint="eastAsia" w:ascii="黑体" w:hAnsi="黑体" w:eastAsia="黑体"/>
                <w:sz w:val="24"/>
                <w:szCs w:val="24"/>
              </w:rPr>
              <w:t>签署栏</w:t>
            </w:r>
          </w:p>
        </w:tc>
      </w:tr>
      <w:tr>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CellMar>
            <w:top w:w="0" w:type="dxa"/>
            <w:left w:w="108" w:type="dxa"/>
            <w:bottom w:w="0" w:type="dxa"/>
            <w:right w:w="108" w:type="dxa"/>
          </w:tblCellMar>
        </w:tblPrEx>
        <w:trPr>
          <w:trHeight w:val="50" w:hRule="atLeast"/>
        </w:trPr>
        <w:tc>
          <w:tcPr>
            <w:tcW w:w="9736" w:type="dxa"/>
            <w:gridSpan w:val="2"/>
            <w:tcBorders>
              <w:bottom w:val="nil"/>
            </w:tcBorders>
          </w:tcPr>
          <w:p>
            <w:pPr>
              <w:spacing w:line="276" w:lineRule="auto"/>
              <w:rPr>
                <w:rFonts w:ascii="楷体" w:hAnsi="楷体" w:eastAsia="楷体"/>
                <w:sz w:val="22"/>
              </w:rPr>
            </w:pPr>
            <w:r>
              <w:rPr>
                <w:rFonts w:hint="eastAsia" w:ascii="楷体" w:hAnsi="楷体" w:eastAsia="楷体"/>
                <w:sz w:val="22"/>
              </w:rPr>
              <w:t>此栏无正文，为与{{公司名称}}签署的《场外衍生品交易确认书》签章页。</w:t>
            </w:r>
          </w:p>
        </w:tc>
      </w:tr>
      <w:tr>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CellMar>
            <w:top w:w="0" w:type="dxa"/>
            <w:left w:w="108" w:type="dxa"/>
            <w:bottom w:w="0" w:type="dxa"/>
            <w:right w:w="108" w:type="dxa"/>
          </w:tblCellMar>
        </w:tblPrEx>
        <w:trPr>
          <w:trHeight w:val="80" w:hRule="atLeast"/>
        </w:trPr>
        <w:tc>
          <w:tcPr>
            <w:tcW w:w="4868" w:type="dxa"/>
            <w:tcBorders>
              <w:top w:val="nil"/>
              <w:right w:val="nil"/>
            </w:tcBorders>
          </w:tcPr>
          <w:p>
            <w:pPr>
              <w:spacing w:line="276" w:lineRule="auto"/>
              <w:rPr>
                <w:rFonts w:ascii="楷体" w:hAnsi="楷体" w:eastAsia="楷体"/>
                <w:sz w:val="22"/>
              </w:rPr>
            </w:pPr>
          </w:p>
          <w:p>
            <w:pPr>
              <w:spacing w:line="276" w:lineRule="auto"/>
              <w:rPr>
                <w:rFonts w:ascii="楷体" w:hAnsi="楷体" w:eastAsia="楷体"/>
                <w:sz w:val="22"/>
              </w:rPr>
            </w:pPr>
          </w:p>
          <w:p>
            <w:pPr>
              <w:spacing w:line="276" w:lineRule="auto"/>
              <w:rPr>
                <w:rFonts w:hint="eastAsia" w:ascii="楷体" w:hAnsi="楷体" w:eastAsia="楷体"/>
                <w:sz w:val="22"/>
                <w:lang w:eastAsia="zh-CN"/>
              </w:rPr>
            </w:pPr>
            <w:r>
              <w:rPr>
                <w:rFonts w:hint="eastAsia" w:ascii="楷体" w:hAnsi="楷体" w:eastAsia="楷体"/>
                <w:sz w:val="22"/>
              </w:rPr>
              <w:t>甲方（盖章）：{{甲方}}</w:t>
            </w:r>
          </w:p>
          <w:p>
            <w:pPr>
              <w:spacing w:line="276" w:lineRule="auto"/>
              <w:rPr>
                <w:rFonts w:ascii="楷体" w:hAnsi="楷体" w:eastAsia="楷体"/>
                <w:sz w:val="22"/>
              </w:rPr>
            </w:pPr>
            <w:r>
              <w:rPr>
                <w:rFonts w:hint="eastAsia" w:ascii="楷体" w:hAnsi="楷体" w:eastAsia="楷体"/>
                <w:sz w:val="22"/>
              </w:rPr>
              <w:t>签署日期：</w:t>
            </w:r>
          </w:p>
        </w:tc>
        <w:tc>
          <w:tcPr>
            <w:tcW w:w="4868" w:type="dxa"/>
            <w:tcBorders>
              <w:top w:val="nil"/>
              <w:left w:val="nil"/>
            </w:tcBorders>
          </w:tcPr>
          <w:p>
            <w:pPr>
              <w:spacing w:line="276" w:lineRule="auto"/>
              <w:rPr>
                <w:rFonts w:ascii="楷体" w:hAnsi="楷体" w:eastAsia="楷体"/>
                <w:sz w:val="22"/>
              </w:rPr>
            </w:pPr>
          </w:p>
          <w:p>
            <w:pPr>
              <w:spacing w:line="276" w:lineRule="auto"/>
              <w:rPr>
                <w:rFonts w:ascii="楷体" w:hAnsi="楷体" w:eastAsia="楷体"/>
                <w:sz w:val="22"/>
              </w:rPr>
            </w:pPr>
          </w:p>
          <w:p>
            <w:pPr>
              <w:spacing w:line="276" w:lineRule="auto"/>
              <w:rPr>
                <w:rFonts w:ascii="楷体" w:hAnsi="楷体" w:eastAsia="楷体"/>
                <w:sz w:val="22"/>
              </w:rPr>
            </w:pPr>
            <w:r>
              <w:rPr>
                <w:rFonts w:hint="eastAsia" w:ascii="楷体" w:hAnsi="楷体" w:eastAsia="楷体"/>
                <w:sz w:val="22"/>
              </w:rPr>
              <w:t>乙方（盖章）：{{乙方}}</w:t>
            </w:r>
          </w:p>
          <w:p>
            <w:pPr>
              <w:spacing w:line="276" w:lineRule="auto"/>
              <w:rPr>
                <w:rFonts w:ascii="楷体" w:hAnsi="楷体" w:eastAsia="楷体"/>
                <w:sz w:val="22"/>
              </w:rPr>
            </w:pPr>
            <w:r>
              <w:rPr>
                <w:rFonts w:hint="eastAsia" w:ascii="楷体" w:hAnsi="楷体" w:eastAsia="楷体"/>
                <w:sz w:val="22"/>
              </w:rPr>
              <w:t>签署日期：</w:t>
            </w:r>
          </w:p>
        </w:tc>
      </w:tr>
    </w:tbl>
    <w:p>
      <w:pPr>
        <w:jc w:val="left"/>
        <w:rPr>
          <w:rFonts w:ascii="楷体" w:hAnsi="楷体" w:eastAsia="楷体"/>
          <w:sz w:val="24"/>
          <w:szCs w:val="24"/>
        </w:rPr>
      </w:pPr>
    </w:p>
    <w:p>
      <w:pPr>
        <w:jc w:val="left"/>
        <w:rPr>
          <w:rFonts w:ascii="楷体" w:hAnsi="楷体" w:eastAsia="楷体"/>
          <w:sz w:val="24"/>
          <w:szCs w:val="24"/>
        </w:rPr>
      </w:pPr>
      <w:bookmarkStart w:id="3" w:name="_GoBack"/>
      <w:bookmarkEnd w:id="3"/>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89937355"/>
    </w:sdtPr>
    <w:sdtContent>
      <w:sdt>
        <w:sdtPr>
          <w:id w:val="-1769616900"/>
        </w:sdtPr>
        <w:sdtContent>
          <w:p>
            <w:pPr>
              <w:pStyle w:val="4"/>
              <w:jc w:val="right"/>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tab w:relativeTo="margin" w:alignment="center" w:leader="none"/>
    </w:r>
    <w:r>
      <w:ptab w:relativeTo="margin" w:alignment="right" w:leader="none"/>
    </w:r>
    <w:r>
      <w:rPr>
        <w:sz w:val="18"/>
        <w:szCs w:val="18"/>
      </w:rPr>
      <w:t>Confirmation Templ</w:t>
    </w:r>
    <w:r>
      <w:rPr>
        <w:rFonts w:hint="eastAsia"/>
        <w:sz w:val="18"/>
        <w:szCs w:val="18"/>
      </w:rPr>
      <w:t>ate</w:t>
    </w:r>
    <w:r>
      <w:rPr>
        <w:sz w:val="18"/>
        <w:szCs w:val="18"/>
      </w:rPr>
      <w:t xml:space="preserve"> – Vanilla – V2.0 (202008)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1311704829" o:spid="_x0000_s4098" o:spt="136" type="#_x0000_t136" style="position:absolute;left:0pt;height:52.8pt;width:634.1pt;mso-position-horizontal:center;mso-position-horizontal-relative:margin;mso-position-vertical:center;mso-position-vertical-relative:margin;rotation:20643840f;z-index:-251656192;mso-width-relative:page;mso-height-relative:page;" fillcolor="#BFBFBF" filled="t" stroked="f" coordsize="21600,21600" o:allowincell="f">
          <v:path/>
          <v:fill on="t" opacity="32768f" focussize="0,0"/>
          <v:stroke on="f"/>
          <v:imagedata o:title=""/>
          <o:lock v:ext="edit"/>
          <v:textpath on="t" fitshape="t" fitpath="t" trim="f" xscale="f" string="国泰君安风险管理有限公司" style="font-family:黑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1311704828" o:spid="_x0000_s4097" o:spt="136" type="#_x0000_t136" style="position:absolute;left:0pt;height:52.8pt;width:634.1pt;mso-position-horizontal:center;mso-position-horizontal-relative:margin;mso-position-vertical:center;mso-position-vertical-relative:margin;rotation:20643840f;z-index:-251657216;mso-width-relative:page;mso-height-relative:page;" fillcolor="#BFBFBF" filled="t" stroked="f" coordsize="21600,21600" o:allowincell="f">
          <v:path/>
          <v:fill on="t" opacity="32768f" focussize="0,0"/>
          <v:stroke on="f"/>
          <v:imagedata o:title=""/>
          <o:lock v:ext="edit"/>
          <v:textpath on="t" fitshape="t" fitpath="t" trim="f" xscale="f" string="国泰君安风险管理有限公司" style="font-family:黑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8078B1"/>
    <w:multiLevelType w:val="multilevel"/>
    <w:tmpl w:val="158078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C8F4244"/>
    <w:multiLevelType w:val="multilevel"/>
    <w:tmpl w:val="1C8F424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45B7448"/>
    <w:multiLevelType w:val="multilevel"/>
    <w:tmpl w:val="245B744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77B51C0"/>
    <w:multiLevelType w:val="multilevel"/>
    <w:tmpl w:val="277B51C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8CC579C"/>
    <w:multiLevelType w:val="multilevel"/>
    <w:tmpl w:val="28CC579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CA4553A"/>
    <w:multiLevelType w:val="multilevel"/>
    <w:tmpl w:val="2CA455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AB137ED"/>
    <w:multiLevelType w:val="multilevel"/>
    <w:tmpl w:val="4AB137E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B680904"/>
    <w:multiLevelType w:val="multilevel"/>
    <w:tmpl w:val="4B68090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DB25B36"/>
    <w:multiLevelType w:val="multilevel"/>
    <w:tmpl w:val="4DB25B3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C945ED3"/>
    <w:multiLevelType w:val="multilevel"/>
    <w:tmpl w:val="5C945ED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86C38B0"/>
    <w:multiLevelType w:val="multilevel"/>
    <w:tmpl w:val="686C38B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DE8391B"/>
    <w:multiLevelType w:val="multilevel"/>
    <w:tmpl w:val="6DE8391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23C4477"/>
    <w:multiLevelType w:val="multilevel"/>
    <w:tmpl w:val="723C447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25905C2"/>
    <w:multiLevelType w:val="multilevel"/>
    <w:tmpl w:val="725905C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60386B"/>
    <w:multiLevelType w:val="multilevel"/>
    <w:tmpl w:val="756038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E7F25A6"/>
    <w:multiLevelType w:val="multilevel"/>
    <w:tmpl w:val="7E7F25A6"/>
    <w:lvl w:ilvl="0" w:tentative="0">
      <w:start w:val="1"/>
      <w:numFmt w:val="decimal"/>
      <w:lvlText w:val="%1."/>
      <w:lvlJc w:val="left"/>
      <w:pPr>
        <w:ind w:left="360" w:hanging="360"/>
      </w:pPr>
      <w:rPr>
        <w:rFonts w:hint="default"/>
      </w:rPr>
    </w:lvl>
    <w:lvl w:ilvl="1" w:tentative="0">
      <w:start w:val="1"/>
      <w:numFmt w:val="upperLetter"/>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FDD0408"/>
    <w:multiLevelType w:val="multilevel"/>
    <w:tmpl w:val="7FDD04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2"/>
  </w:num>
  <w:num w:numId="3">
    <w:abstractNumId w:val="13"/>
  </w:num>
  <w:num w:numId="4">
    <w:abstractNumId w:val="15"/>
  </w:num>
  <w:num w:numId="5">
    <w:abstractNumId w:val="12"/>
  </w:num>
  <w:num w:numId="6">
    <w:abstractNumId w:val="11"/>
  </w:num>
  <w:num w:numId="7">
    <w:abstractNumId w:val="5"/>
  </w:num>
  <w:num w:numId="8">
    <w:abstractNumId w:val="10"/>
  </w:num>
  <w:num w:numId="9">
    <w:abstractNumId w:val="4"/>
  </w:num>
  <w:num w:numId="10">
    <w:abstractNumId w:val="8"/>
  </w:num>
  <w:num w:numId="11">
    <w:abstractNumId w:val="0"/>
  </w:num>
  <w:num w:numId="12">
    <w:abstractNumId w:val="1"/>
  </w:num>
  <w:num w:numId="13">
    <w:abstractNumId w:val="16"/>
  </w:num>
  <w:num w:numId="14">
    <w:abstractNumId w:val="3"/>
  </w:num>
  <w:num w:numId="15">
    <w:abstractNumId w:val="14"/>
  </w:num>
  <w:num w:numId="16">
    <w:abstractNumId w:val="9"/>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5F9"/>
    <w:rsid w:val="00007664"/>
    <w:rsid w:val="00013593"/>
    <w:rsid w:val="0001421E"/>
    <w:rsid w:val="0001508D"/>
    <w:rsid w:val="00017EBA"/>
    <w:rsid w:val="00021FD2"/>
    <w:rsid w:val="00024CAB"/>
    <w:rsid w:val="00025E1E"/>
    <w:rsid w:val="00027A42"/>
    <w:rsid w:val="00035CD5"/>
    <w:rsid w:val="00043B1F"/>
    <w:rsid w:val="00044CD3"/>
    <w:rsid w:val="00046328"/>
    <w:rsid w:val="00047DE0"/>
    <w:rsid w:val="00050A2B"/>
    <w:rsid w:val="00053006"/>
    <w:rsid w:val="000533A1"/>
    <w:rsid w:val="000546BD"/>
    <w:rsid w:val="00057AB7"/>
    <w:rsid w:val="00061063"/>
    <w:rsid w:val="00061ACA"/>
    <w:rsid w:val="00063068"/>
    <w:rsid w:val="0006327C"/>
    <w:rsid w:val="00065918"/>
    <w:rsid w:val="00067EB4"/>
    <w:rsid w:val="000714EE"/>
    <w:rsid w:val="000739C2"/>
    <w:rsid w:val="0007674D"/>
    <w:rsid w:val="00083407"/>
    <w:rsid w:val="00084C56"/>
    <w:rsid w:val="0009416A"/>
    <w:rsid w:val="00096769"/>
    <w:rsid w:val="000A0952"/>
    <w:rsid w:val="000A6FA3"/>
    <w:rsid w:val="000A75C0"/>
    <w:rsid w:val="000B070D"/>
    <w:rsid w:val="000B1CF7"/>
    <w:rsid w:val="000B25E9"/>
    <w:rsid w:val="000B4549"/>
    <w:rsid w:val="000B5622"/>
    <w:rsid w:val="000C0B88"/>
    <w:rsid w:val="000C1FFB"/>
    <w:rsid w:val="000C6636"/>
    <w:rsid w:val="000D0E78"/>
    <w:rsid w:val="000D27CC"/>
    <w:rsid w:val="000D57C0"/>
    <w:rsid w:val="000D6DB0"/>
    <w:rsid w:val="000D7888"/>
    <w:rsid w:val="000D7BB2"/>
    <w:rsid w:val="000E3DBA"/>
    <w:rsid w:val="000E47C7"/>
    <w:rsid w:val="000E4B20"/>
    <w:rsid w:val="000E590B"/>
    <w:rsid w:val="000E77C6"/>
    <w:rsid w:val="000F04E6"/>
    <w:rsid w:val="000F4DAE"/>
    <w:rsid w:val="00106D36"/>
    <w:rsid w:val="0011057F"/>
    <w:rsid w:val="00113C0A"/>
    <w:rsid w:val="00114186"/>
    <w:rsid w:val="00117044"/>
    <w:rsid w:val="00117204"/>
    <w:rsid w:val="00121984"/>
    <w:rsid w:val="00124931"/>
    <w:rsid w:val="00133A7B"/>
    <w:rsid w:val="00140B77"/>
    <w:rsid w:val="00142549"/>
    <w:rsid w:val="00142DBB"/>
    <w:rsid w:val="00143428"/>
    <w:rsid w:val="00145AEE"/>
    <w:rsid w:val="00145B1D"/>
    <w:rsid w:val="00154306"/>
    <w:rsid w:val="00155C0D"/>
    <w:rsid w:val="00156073"/>
    <w:rsid w:val="0017701D"/>
    <w:rsid w:val="00177D96"/>
    <w:rsid w:val="001822E4"/>
    <w:rsid w:val="001830D1"/>
    <w:rsid w:val="00184ADE"/>
    <w:rsid w:val="001925D0"/>
    <w:rsid w:val="0019501C"/>
    <w:rsid w:val="001B2079"/>
    <w:rsid w:val="001B4815"/>
    <w:rsid w:val="001C0239"/>
    <w:rsid w:val="001C2532"/>
    <w:rsid w:val="001C3063"/>
    <w:rsid w:val="001C440D"/>
    <w:rsid w:val="001D1795"/>
    <w:rsid w:val="001D3858"/>
    <w:rsid w:val="001D5C98"/>
    <w:rsid w:val="001F1440"/>
    <w:rsid w:val="001F1CB4"/>
    <w:rsid w:val="001F25CB"/>
    <w:rsid w:val="001F4480"/>
    <w:rsid w:val="001F74CB"/>
    <w:rsid w:val="002019D8"/>
    <w:rsid w:val="0020205B"/>
    <w:rsid w:val="00207382"/>
    <w:rsid w:val="00231294"/>
    <w:rsid w:val="0023309F"/>
    <w:rsid w:val="00236D80"/>
    <w:rsid w:val="002372D0"/>
    <w:rsid w:val="00242577"/>
    <w:rsid w:val="002457AC"/>
    <w:rsid w:val="00253FE5"/>
    <w:rsid w:val="002540C0"/>
    <w:rsid w:val="00254735"/>
    <w:rsid w:val="002608FC"/>
    <w:rsid w:val="00261357"/>
    <w:rsid w:val="00261DFA"/>
    <w:rsid w:val="00262B8F"/>
    <w:rsid w:val="00277540"/>
    <w:rsid w:val="00282508"/>
    <w:rsid w:val="0028261B"/>
    <w:rsid w:val="00282FE7"/>
    <w:rsid w:val="00284C97"/>
    <w:rsid w:val="002909F3"/>
    <w:rsid w:val="00291E8F"/>
    <w:rsid w:val="00293603"/>
    <w:rsid w:val="00294119"/>
    <w:rsid w:val="00295153"/>
    <w:rsid w:val="002951E9"/>
    <w:rsid w:val="002A12D0"/>
    <w:rsid w:val="002A704E"/>
    <w:rsid w:val="002A7F8C"/>
    <w:rsid w:val="002B23E3"/>
    <w:rsid w:val="002C2EE5"/>
    <w:rsid w:val="002C32E4"/>
    <w:rsid w:val="002C4EE1"/>
    <w:rsid w:val="002C6131"/>
    <w:rsid w:val="002D1A0F"/>
    <w:rsid w:val="002D2DD4"/>
    <w:rsid w:val="002D3B32"/>
    <w:rsid w:val="002D4594"/>
    <w:rsid w:val="002D7756"/>
    <w:rsid w:val="002D78B5"/>
    <w:rsid w:val="002D7964"/>
    <w:rsid w:val="002E3CCA"/>
    <w:rsid w:val="002E432A"/>
    <w:rsid w:val="002F363D"/>
    <w:rsid w:val="002F43FF"/>
    <w:rsid w:val="002F7AD4"/>
    <w:rsid w:val="00301595"/>
    <w:rsid w:val="00302819"/>
    <w:rsid w:val="003072C6"/>
    <w:rsid w:val="00307E90"/>
    <w:rsid w:val="00311DD7"/>
    <w:rsid w:val="00312D0C"/>
    <w:rsid w:val="00320CE2"/>
    <w:rsid w:val="003241C0"/>
    <w:rsid w:val="00324381"/>
    <w:rsid w:val="00324B66"/>
    <w:rsid w:val="00327BC2"/>
    <w:rsid w:val="00327CAA"/>
    <w:rsid w:val="00333609"/>
    <w:rsid w:val="00351B42"/>
    <w:rsid w:val="00352B1C"/>
    <w:rsid w:val="00355213"/>
    <w:rsid w:val="0036213C"/>
    <w:rsid w:val="00372737"/>
    <w:rsid w:val="00374FC7"/>
    <w:rsid w:val="003856B5"/>
    <w:rsid w:val="003A00EC"/>
    <w:rsid w:val="003A0A36"/>
    <w:rsid w:val="003A7FA3"/>
    <w:rsid w:val="003B1CB0"/>
    <w:rsid w:val="003B5991"/>
    <w:rsid w:val="003C310D"/>
    <w:rsid w:val="003C5D25"/>
    <w:rsid w:val="003D6AA2"/>
    <w:rsid w:val="003D6D03"/>
    <w:rsid w:val="003E3708"/>
    <w:rsid w:val="003E4DFB"/>
    <w:rsid w:val="003E5410"/>
    <w:rsid w:val="003E54D9"/>
    <w:rsid w:val="003E69C8"/>
    <w:rsid w:val="003F714A"/>
    <w:rsid w:val="004026DD"/>
    <w:rsid w:val="00402C8F"/>
    <w:rsid w:val="004030E1"/>
    <w:rsid w:val="00407F42"/>
    <w:rsid w:val="00410411"/>
    <w:rsid w:val="00410AAC"/>
    <w:rsid w:val="00410EBC"/>
    <w:rsid w:val="004111B4"/>
    <w:rsid w:val="0041152A"/>
    <w:rsid w:val="004119C0"/>
    <w:rsid w:val="00413E93"/>
    <w:rsid w:val="00415BAD"/>
    <w:rsid w:val="00416D33"/>
    <w:rsid w:val="00421794"/>
    <w:rsid w:val="00422471"/>
    <w:rsid w:val="00424F84"/>
    <w:rsid w:val="00426013"/>
    <w:rsid w:val="00430BF3"/>
    <w:rsid w:val="00430D70"/>
    <w:rsid w:val="00432F58"/>
    <w:rsid w:val="00433764"/>
    <w:rsid w:val="004377D9"/>
    <w:rsid w:val="00443ED3"/>
    <w:rsid w:val="00461BAC"/>
    <w:rsid w:val="00472661"/>
    <w:rsid w:val="00482C03"/>
    <w:rsid w:val="00486237"/>
    <w:rsid w:val="00490991"/>
    <w:rsid w:val="004932DB"/>
    <w:rsid w:val="00495AF9"/>
    <w:rsid w:val="00496830"/>
    <w:rsid w:val="004A201E"/>
    <w:rsid w:val="004A2961"/>
    <w:rsid w:val="004A64B7"/>
    <w:rsid w:val="004B000D"/>
    <w:rsid w:val="004B0AEA"/>
    <w:rsid w:val="004B0EEF"/>
    <w:rsid w:val="004B2107"/>
    <w:rsid w:val="004B47DE"/>
    <w:rsid w:val="004B5441"/>
    <w:rsid w:val="004C1CA9"/>
    <w:rsid w:val="004C7BE1"/>
    <w:rsid w:val="004D3834"/>
    <w:rsid w:val="004D7384"/>
    <w:rsid w:val="004E0779"/>
    <w:rsid w:val="004E2D45"/>
    <w:rsid w:val="004E58E8"/>
    <w:rsid w:val="004F61BD"/>
    <w:rsid w:val="004F7E59"/>
    <w:rsid w:val="00503BC3"/>
    <w:rsid w:val="00507692"/>
    <w:rsid w:val="005117F3"/>
    <w:rsid w:val="00515C62"/>
    <w:rsid w:val="00515D38"/>
    <w:rsid w:val="00516A23"/>
    <w:rsid w:val="005227A8"/>
    <w:rsid w:val="00524E9F"/>
    <w:rsid w:val="00525038"/>
    <w:rsid w:val="00525940"/>
    <w:rsid w:val="005261CB"/>
    <w:rsid w:val="00527486"/>
    <w:rsid w:val="005323B5"/>
    <w:rsid w:val="005370C7"/>
    <w:rsid w:val="005433FB"/>
    <w:rsid w:val="005435CB"/>
    <w:rsid w:val="00543B8B"/>
    <w:rsid w:val="00544CFD"/>
    <w:rsid w:val="005474E9"/>
    <w:rsid w:val="005507BC"/>
    <w:rsid w:val="005537F9"/>
    <w:rsid w:val="00553811"/>
    <w:rsid w:val="005544DF"/>
    <w:rsid w:val="0056065E"/>
    <w:rsid w:val="005610CF"/>
    <w:rsid w:val="005620FF"/>
    <w:rsid w:val="00562232"/>
    <w:rsid w:val="00562A4F"/>
    <w:rsid w:val="00563610"/>
    <w:rsid w:val="00567582"/>
    <w:rsid w:val="00573A27"/>
    <w:rsid w:val="005742AA"/>
    <w:rsid w:val="00577672"/>
    <w:rsid w:val="00581FD0"/>
    <w:rsid w:val="00582794"/>
    <w:rsid w:val="00587DD6"/>
    <w:rsid w:val="005948EF"/>
    <w:rsid w:val="0059549A"/>
    <w:rsid w:val="005973DC"/>
    <w:rsid w:val="005C1942"/>
    <w:rsid w:val="005C1F9C"/>
    <w:rsid w:val="005C220B"/>
    <w:rsid w:val="005C4C6E"/>
    <w:rsid w:val="005C4E47"/>
    <w:rsid w:val="005C503B"/>
    <w:rsid w:val="005C70AD"/>
    <w:rsid w:val="005D785A"/>
    <w:rsid w:val="005E2399"/>
    <w:rsid w:val="005E4AD7"/>
    <w:rsid w:val="005E7215"/>
    <w:rsid w:val="005E7230"/>
    <w:rsid w:val="005F4356"/>
    <w:rsid w:val="005F519B"/>
    <w:rsid w:val="00602DDA"/>
    <w:rsid w:val="006051A1"/>
    <w:rsid w:val="00606031"/>
    <w:rsid w:val="0061075C"/>
    <w:rsid w:val="00611FE0"/>
    <w:rsid w:val="0061522E"/>
    <w:rsid w:val="00622011"/>
    <w:rsid w:val="00623D0C"/>
    <w:rsid w:val="00626D68"/>
    <w:rsid w:val="00630A30"/>
    <w:rsid w:val="006311F6"/>
    <w:rsid w:val="00631362"/>
    <w:rsid w:val="0063297C"/>
    <w:rsid w:val="006445A9"/>
    <w:rsid w:val="00644C28"/>
    <w:rsid w:val="00645D4E"/>
    <w:rsid w:val="00645D4F"/>
    <w:rsid w:val="006468B9"/>
    <w:rsid w:val="006542AB"/>
    <w:rsid w:val="00655A6F"/>
    <w:rsid w:val="0066030D"/>
    <w:rsid w:val="0066360C"/>
    <w:rsid w:val="00663EEF"/>
    <w:rsid w:val="00667206"/>
    <w:rsid w:val="0067143A"/>
    <w:rsid w:val="00674D74"/>
    <w:rsid w:val="00675AEB"/>
    <w:rsid w:val="00675C9A"/>
    <w:rsid w:val="006836F0"/>
    <w:rsid w:val="0069435C"/>
    <w:rsid w:val="00694C02"/>
    <w:rsid w:val="006A5D5B"/>
    <w:rsid w:val="006B1900"/>
    <w:rsid w:val="006B3A01"/>
    <w:rsid w:val="006B6C5F"/>
    <w:rsid w:val="006B745F"/>
    <w:rsid w:val="006C173A"/>
    <w:rsid w:val="006C4739"/>
    <w:rsid w:val="006E03D3"/>
    <w:rsid w:val="006E07AB"/>
    <w:rsid w:val="006E23CA"/>
    <w:rsid w:val="006E240C"/>
    <w:rsid w:val="006E64A6"/>
    <w:rsid w:val="006E6EE3"/>
    <w:rsid w:val="006E710E"/>
    <w:rsid w:val="006E749B"/>
    <w:rsid w:val="006F2D50"/>
    <w:rsid w:val="006F3CAA"/>
    <w:rsid w:val="006F6CCC"/>
    <w:rsid w:val="006F7FE0"/>
    <w:rsid w:val="0070390A"/>
    <w:rsid w:val="007132D8"/>
    <w:rsid w:val="00722810"/>
    <w:rsid w:val="00723B84"/>
    <w:rsid w:val="00724207"/>
    <w:rsid w:val="00726B71"/>
    <w:rsid w:val="00742E7A"/>
    <w:rsid w:val="00743285"/>
    <w:rsid w:val="00755457"/>
    <w:rsid w:val="0075737E"/>
    <w:rsid w:val="00762801"/>
    <w:rsid w:val="00764246"/>
    <w:rsid w:val="007660CE"/>
    <w:rsid w:val="00766C59"/>
    <w:rsid w:val="00766DAB"/>
    <w:rsid w:val="00771AD7"/>
    <w:rsid w:val="00773ADA"/>
    <w:rsid w:val="0077429F"/>
    <w:rsid w:val="00774368"/>
    <w:rsid w:val="0078096C"/>
    <w:rsid w:val="007944A2"/>
    <w:rsid w:val="00794846"/>
    <w:rsid w:val="00794AB5"/>
    <w:rsid w:val="007A353E"/>
    <w:rsid w:val="007A3F32"/>
    <w:rsid w:val="007A4F40"/>
    <w:rsid w:val="007A7C48"/>
    <w:rsid w:val="007B38E3"/>
    <w:rsid w:val="007B3F17"/>
    <w:rsid w:val="007B5BA5"/>
    <w:rsid w:val="007B6A2B"/>
    <w:rsid w:val="007C4081"/>
    <w:rsid w:val="007D3F7D"/>
    <w:rsid w:val="007D64BF"/>
    <w:rsid w:val="007E3B6A"/>
    <w:rsid w:val="007E5CFC"/>
    <w:rsid w:val="007E6DA1"/>
    <w:rsid w:val="007F79E5"/>
    <w:rsid w:val="008057A6"/>
    <w:rsid w:val="008101AD"/>
    <w:rsid w:val="00812F06"/>
    <w:rsid w:val="00813CC3"/>
    <w:rsid w:val="00814978"/>
    <w:rsid w:val="008161E4"/>
    <w:rsid w:val="0081657D"/>
    <w:rsid w:val="00816BFF"/>
    <w:rsid w:val="00823EA7"/>
    <w:rsid w:val="00833687"/>
    <w:rsid w:val="00833A71"/>
    <w:rsid w:val="0083445D"/>
    <w:rsid w:val="0084137D"/>
    <w:rsid w:val="0084448B"/>
    <w:rsid w:val="0085083F"/>
    <w:rsid w:val="00851094"/>
    <w:rsid w:val="008533F5"/>
    <w:rsid w:val="00854B17"/>
    <w:rsid w:val="008561E1"/>
    <w:rsid w:val="008641E0"/>
    <w:rsid w:val="0086509A"/>
    <w:rsid w:val="008656AF"/>
    <w:rsid w:val="00875254"/>
    <w:rsid w:val="00875B82"/>
    <w:rsid w:val="00880023"/>
    <w:rsid w:val="00880B45"/>
    <w:rsid w:val="00883090"/>
    <w:rsid w:val="0088497F"/>
    <w:rsid w:val="00885687"/>
    <w:rsid w:val="00886D67"/>
    <w:rsid w:val="008878E0"/>
    <w:rsid w:val="0089571F"/>
    <w:rsid w:val="008961F7"/>
    <w:rsid w:val="008A00CF"/>
    <w:rsid w:val="008A0605"/>
    <w:rsid w:val="008A0B60"/>
    <w:rsid w:val="008A1C49"/>
    <w:rsid w:val="008A269D"/>
    <w:rsid w:val="008A4700"/>
    <w:rsid w:val="008A5A51"/>
    <w:rsid w:val="008B4B09"/>
    <w:rsid w:val="008B67B1"/>
    <w:rsid w:val="008D0486"/>
    <w:rsid w:val="008D33FC"/>
    <w:rsid w:val="008D3E22"/>
    <w:rsid w:val="008D6721"/>
    <w:rsid w:val="008D6D46"/>
    <w:rsid w:val="008E1C39"/>
    <w:rsid w:val="008E2B2F"/>
    <w:rsid w:val="008E44EA"/>
    <w:rsid w:val="008E59BC"/>
    <w:rsid w:val="008E6FED"/>
    <w:rsid w:val="008F1DE7"/>
    <w:rsid w:val="008F3189"/>
    <w:rsid w:val="008F4E97"/>
    <w:rsid w:val="008F6193"/>
    <w:rsid w:val="008F7B7B"/>
    <w:rsid w:val="00906957"/>
    <w:rsid w:val="00910686"/>
    <w:rsid w:val="009133C6"/>
    <w:rsid w:val="00915262"/>
    <w:rsid w:val="0092423A"/>
    <w:rsid w:val="009251DB"/>
    <w:rsid w:val="00934EC6"/>
    <w:rsid w:val="00935DEF"/>
    <w:rsid w:val="00945E94"/>
    <w:rsid w:val="00966FEF"/>
    <w:rsid w:val="00970787"/>
    <w:rsid w:val="009726E8"/>
    <w:rsid w:val="009858A2"/>
    <w:rsid w:val="00986B75"/>
    <w:rsid w:val="0099257D"/>
    <w:rsid w:val="0099510F"/>
    <w:rsid w:val="00995572"/>
    <w:rsid w:val="009955B4"/>
    <w:rsid w:val="00996B60"/>
    <w:rsid w:val="009A41CF"/>
    <w:rsid w:val="009B1CE9"/>
    <w:rsid w:val="009C16F8"/>
    <w:rsid w:val="009C548A"/>
    <w:rsid w:val="009C5524"/>
    <w:rsid w:val="009D1EF4"/>
    <w:rsid w:val="009D6A60"/>
    <w:rsid w:val="009D6D67"/>
    <w:rsid w:val="009E05E2"/>
    <w:rsid w:val="009E0A5A"/>
    <w:rsid w:val="009E7126"/>
    <w:rsid w:val="009F50EA"/>
    <w:rsid w:val="009F69FC"/>
    <w:rsid w:val="00A00B2F"/>
    <w:rsid w:val="00A02F30"/>
    <w:rsid w:val="00A06D45"/>
    <w:rsid w:val="00A0789C"/>
    <w:rsid w:val="00A118F6"/>
    <w:rsid w:val="00A13167"/>
    <w:rsid w:val="00A17A5E"/>
    <w:rsid w:val="00A32031"/>
    <w:rsid w:val="00A36C5F"/>
    <w:rsid w:val="00A42B5D"/>
    <w:rsid w:val="00A42C1A"/>
    <w:rsid w:val="00A45D31"/>
    <w:rsid w:val="00A50E2F"/>
    <w:rsid w:val="00A51AB6"/>
    <w:rsid w:val="00A5213A"/>
    <w:rsid w:val="00A53375"/>
    <w:rsid w:val="00A5398A"/>
    <w:rsid w:val="00A56512"/>
    <w:rsid w:val="00A56553"/>
    <w:rsid w:val="00A56636"/>
    <w:rsid w:val="00A57BF2"/>
    <w:rsid w:val="00A7403E"/>
    <w:rsid w:val="00A74B8F"/>
    <w:rsid w:val="00A816FF"/>
    <w:rsid w:val="00A83145"/>
    <w:rsid w:val="00AA2DD6"/>
    <w:rsid w:val="00AA7AA1"/>
    <w:rsid w:val="00AB2086"/>
    <w:rsid w:val="00AB32B7"/>
    <w:rsid w:val="00AB4934"/>
    <w:rsid w:val="00AC35C9"/>
    <w:rsid w:val="00AD53D1"/>
    <w:rsid w:val="00AE3848"/>
    <w:rsid w:val="00AE520A"/>
    <w:rsid w:val="00AE7206"/>
    <w:rsid w:val="00AE798C"/>
    <w:rsid w:val="00AF0068"/>
    <w:rsid w:val="00AF0340"/>
    <w:rsid w:val="00AF5112"/>
    <w:rsid w:val="00AF7231"/>
    <w:rsid w:val="00AF7A97"/>
    <w:rsid w:val="00B02FFC"/>
    <w:rsid w:val="00B10029"/>
    <w:rsid w:val="00B165E7"/>
    <w:rsid w:val="00B16753"/>
    <w:rsid w:val="00B17E26"/>
    <w:rsid w:val="00B22EAF"/>
    <w:rsid w:val="00B25D86"/>
    <w:rsid w:val="00B26251"/>
    <w:rsid w:val="00B2681D"/>
    <w:rsid w:val="00B309D2"/>
    <w:rsid w:val="00B379CF"/>
    <w:rsid w:val="00B37E1F"/>
    <w:rsid w:val="00B448FF"/>
    <w:rsid w:val="00B463FA"/>
    <w:rsid w:val="00B46C78"/>
    <w:rsid w:val="00B46F40"/>
    <w:rsid w:val="00B53A3C"/>
    <w:rsid w:val="00B54381"/>
    <w:rsid w:val="00B60151"/>
    <w:rsid w:val="00B6170E"/>
    <w:rsid w:val="00B64A09"/>
    <w:rsid w:val="00B83312"/>
    <w:rsid w:val="00B837C6"/>
    <w:rsid w:val="00B84444"/>
    <w:rsid w:val="00B93D48"/>
    <w:rsid w:val="00B93FEE"/>
    <w:rsid w:val="00B9620A"/>
    <w:rsid w:val="00B96A95"/>
    <w:rsid w:val="00BA461C"/>
    <w:rsid w:val="00BB03E3"/>
    <w:rsid w:val="00BB1339"/>
    <w:rsid w:val="00BB29E0"/>
    <w:rsid w:val="00BB33C2"/>
    <w:rsid w:val="00BB3805"/>
    <w:rsid w:val="00BC02FE"/>
    <w:rsid w:val="00BC3816"/>
    <w:rsid w:val="00BC4E77"/>
    <w:rsid w:val="00BD2210"/>
    <w:rsid w:val="00BD240B"/>
    <w:rsid w:val="00BD4087"/>
    <w:rsid w:val="00BE0829"/>
    <w:rsid w:val="00BE12CA"/>
    <w:rsid w:val="00BE18BA"/>
    <w:rsid w:val="00BE65A1"/>
    <w:rsid w:val="00BF1DFE"/>
    <w:rsid w:val="00BF2FB3"/>
    <w:rsid w:val="00BF7EDA"/>
    <w:rsid w:val="00C0208B"/>
    <w:rsid w:val="00C12073"/>
    <w:rsid w:val="00C13302"/>
    <w:rsid w:val="00C155D8"/>
    <w:rsid w:val="00C24D6C"/>
    <w:rsid w:val="00C27361"/>
    <w:rsid w:val="00C30F14"/>
    <w:rsid w:val="00C35861"/>
    <w:rsid w:val="00C420F4"/>
    <w:rsid w:val="00C577FF"/>
    <w:rsid w:val="00C6479B"/>
    <w:rsid w:val="00C64CC9"/>
    <w:rsid w:val="00C707F2"/>
    <w:rsid w:val="00C71223"/>
    <w:rsid w:val="00C75A6B"/>
    <w:rsid w:val="00C84391"/>
    <w:rsid w:val="00CA408B"/>
    <w:rsid w:val="00CB7F9B"/>
    <w:rsid w:val="00CC0C06"/>
    <w:rsid w:val="00CC0C7E"/>
    <w:rsid w:val="00CC270A"/>
    <w:rsid w:val="00CD05B2"/>
    <w:rsid w:val="00CD5C11"/>
    <w:rsid w:val="00CE5305"/>
    <w:rsid w:val="00CE73D8"/>
    <w:rsid w:val="00CF25A6"/>
    <w:rsid w:val="00CF2F09"/>
    <w:rsid w:val="00D0698E"/>
    <w:rsid w:val="00D07401"/>
    <w:rsid w:val="00D10CA7"/>
    <w:rsid w:val="00D13B18"/>
    <w:rsid w:val="00D16F85"/>
    <w:rsid w:val="00D174CD"/>
    <w:rsid w:val="00D224F5"/>
    <w:rsid w:val="00D23F84"/>
    <w:rsid w:val="00D24FAD"/>
    <w:rsid w:val="00D25C06"/>
    <w:rsid w:val="00D27B73"/>
    <w:rsid w:val="00D33F0A"/>
    <w:rsid w:val="00D34DC5"/>
    <w:rsid w:val="00D357FB"/>
    <w:rsid w:val="00D35EB9"/>
    <w:rsid w:val="00D414CD"/>
    <w:rsid w:val="00D41F27"/>
    <w:rsid w:val="00D46B39"/>
    <w:rsid w:val="00D478F1"/>
    <w:rsid w:val="00D52695"/>
    <w:rsid w:val="00D605C3"/>
    <w:rsid w:val="00D609D7"/>
    <w:rsid w:val="00D62F11"/>
    <w:rsid w:val="00D6351D"/>
    <w:rsid w:val="00D71135"/>
    <w:rsid w:val="00D74B93"/>
    <w:rsid w:val="00D81CCC"/>
    <w:rsid w:val="00D919EC"/>
    <w:rsid w:val="00D931F7"/>
    <w:rsid w:val="00D93835"/>
    <w:rsid w:val="00D93A34"/>
    <w:rsid w:val="00D94E29"/>
    <w:rsid w:val="00D95797"/>
    <w:rsid w:val="00D97783"/>
    <w:rsid w:val="00DA2185"/>
    <w:rsid w:val="00DB0732"/>
    <w:rsid w:val="00DB16B8"/>
    <w:rsid w:val="00DB1D93"/>
    <w:rsid w:val="00DB5BFB"/>
    <w:rsid w:val="00DC37F1"/>
    <w:rsid w:val="00DC3ADC"/>
    <w:rsid w:val="00DC45CD"/>
    <w:rsid w:val="00DD2157"/>
    <w:rsid w:val="00DD4AE2"/>
    <w:rsid w:val="00DD61EA"/>
    <w:rsid w:val="00DE0708"/>
    <w:rsid w:val="00DE3C26"/>
    <w:rsid w:val="00DE7760"/>
    <w:rsid w:val="00DF0D07"/>
    <w:rsid w:val="00DF1CE2"/>
    <w:rsid w:val="00DF54A5"/>
    <w:rsid w:val="00DF7F81"/>
    <w:rsid w:val="00E00A4A"/>
    <w:rsid w:val="00E012D8"/>
    <w:rsid w:val="00E0647E"/>
    <w:rsid w:val="00E11D3D"/>
    <w:rsid w:val="00E12C70"/>
    <w:rsid w:val="00E12EF3"/>
    <w:rsid w:val="00E135DB"/>
    <w:rsid w:val="00E172FF"/>
    <w:rsid w:val="00E173EB"/>
    <w:rsid w:val="00E17B4A"/>
    <w:rsid w:val="00E20774"/>
    <w:rsid w:val="00E238B1"/>
    <w:rsid w:val="00E25DA5"/>
    <w:rsid w:val="00E26BF2"/>
    <w:rsid w:val="00E33114"/>
    <w:rsid w:val="00E3714C"/>
    <w:rsid w:val="00E51114"/>
    <w:rsid w:val="00E55053"/>
    <w:rsid w:val="00E572AE"/>
    <w:rsid w:val="00E61E76"/>
    <w:rsid w:val="00E62853"/>
    <w:rsid w:val="00E62AD0"/>
    <w:rsid w:val="00E65729"/>
    <w:rsid w:val="00E675DD"/>
    <w:rsid w:val="00E73E69"/>
    <w:rsid w:val="00E75E16"/>
    <w:rsid w:val="00E877E6"/>
    <w:rsid w:val="00E92154"/>
    <w:rsid w:val="00E94768"/>
    <w:rsid w:val="00E95471"/>
    <w:rsid w:val="00EA64DA"/>
    <w:rsid w:val="00EB075C"/>
    <w:rsid w:val="00EB25BC"/>
    <w:rsid w:val="00EB2858"/>
    <w:rsid w:val="00EB2B65"/>
    <w:rsid w:val="00EB50AE"/>
    <w:rsid w:val="00EB6371"/>
    <w:rsid w:val="00EB7A5E"/>
    <w:rsid w:val="00EC77FA"/>
    <w:rsid w:val="00EC7E9D"/>
    <w:rsid w:val="00EC7FD3"/>
    <w:rsid w:val="00ED2A39"/>
    <w:rsid w:val="00ED3A8A"/>
    <w:rsid w:val="00EE130D"/>
    <w:rsid w:val="00EE15F3"/>
    <w:rsid w:val="00EE6C6F"/>
    <w:rsid w:val="00EF71BF"/>
    <w:rsid w:val="00F009C1"/>
    <w:rsid w:val="00F012E3"/>
    <w:rsid w:val="00F01D44"/>
    <w:rsid w:val="00F05009"/>
    <w:rsid w:val="00F058A8"/>
    <w:rsid w:val="00F1127A"/>
    <w:rsid w:val="00F1746B"/>
    <w:rsid w:val="00F22B6F"/>
    <w:rsid w:val="00F30D75"/>
    <w:rsid w:val="00F32172"/>
    <w:rsid w:val="00F3668D"/>
    <w:rsid w:val="00F4345E"/>
    <w:rsid w:val="00F52586"/>
    <w:rsid w:val="00F5262B"/>
    <w:rsid w:val="00F55A4E"/>
    <w:rsid w:val="00F55A68"/>
    <w:rsid w:val="00F56950"/>
    <w:rsid w:val="00F6121C"/>
    <w:rsid w:val="00F67CE1"/>
    <w:rsid w:val="00F736D2"/>
    <w:rsid w:val="00F74A35"/>
    <w:rsid w:val="00F75863"/>
    <w:rsid w:val="00F76639"/>
    <w:rsid w:val="00F91DA0"/>
    <w:rsid w:val="00FA015C"/>
    <w:rsid w:val="00FA4A31"/>
    <w:rsid w:val="00FB6AA8"/>
    <w:rsid w:val="00FB6F45"/>
    <w:rsid w:val="00FC54FC"/>
    <w:rsid w:val="00FD104E"/>
    <w:rsid w:val="00FD4915"/>
    <w:rsid w:val="00FE46D4"/>
    <w:rsid w:val="00FF6998"/>
    <w:rsid w:val="01AE48CD"/>
    <w:rsid w:val="03712683"/>
    <w:rsid w:val="04377E2C"/>
    <w:rsid w:val="0B6D7CB8"/>
    <w:rsid w:val="15D579DE"/>
    <w:rsid w:val="16EE0D51"/>
    <w:rsid w:val="17720BFB"/>
    <w:rsid w:val="177568A1"/>
    <w:rsid w:val="17C32537"/>
    <w:rsid w:val="18F73FD0"/>
    <w:rsid w:val="27155173"/>
    <w:rsid w:val="2C785B8F"/>
    <w:rsid w:val="2D474945"/>
    <w:rsid w:val="37AE294F"/>
    <w:rsid w:val="4AB00C7C"/>
    <w:rsid w:val="4B270738"/>
    <w:rsid w:val="551248AC"/>
    <w:rsid w:val="563D5807"/>
    <w:rsid w:val="68233CB5"/>
    <w:rsid w:val="6EB535E4"/>
    <w:rsid w:val="6FEA6F1E"/>
    <w:rsid w:val="71421FFD"/>
    <w:rsid w:val="77C10112"/>
    <w:rsid w:val="7B6F2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GB"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5"/>
    <w:qFormat/>
    <w:uiPriority w:val="0"/>
    <w:pPr>
      <w:spacing w:after="120" w:line="480" w:lineRule="auto"/>
      <w:ind w:left="420" w:leftChars="200"/>
    </w:pPr>
    <w:rPr>
      <w:rFonts w:ascii="Times New Roman" w:hAnsi="Times New Roman" w:eastAsia="宋体" w:cs="Times New Roman"/>
      <w:kern w:val="0"/>
      <w:sz w:val="24"/>
      <w:szCs w:val="20"/>
      <w:lang w:val="zh-CN"/>
    </w:r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14:textFill>
        <w14:solidFill>
          <w14:schemeClr w14:val="hlink"/>
        </w14:solidFill>
      </w14:textFill>
    </w:rPr>
  </w:style>
  <w:style w:type="paragraph" w:styleId="10">
    <w:name w:val="List Paragraph"/>
    <w:basedOn w:val="1"/>
    <w:qFormat/>
    <w:uiPriority w:val="34"/>
    <w:pPr>
      <w:ind w:firstLine="420" w:firstLineChars="200"/>
    </w:pPr>
  </w:style>
  <w:style w:type="character" w:customStyle="1" w:styleId="11">
    <w:name w:val="页眉 字符"/>
    <w:basedOn w:val="8"/>
    <w:link w:val="5"/>
    <w:qFormat/>
    <w:uiPriority w:val="99"/>
    <w:rPr>
      <w:sz w:val="18"/>
      <w:szCs w:val="18"/>
      <w:lang w:val="en-GB"/>
    </w:rPr>
  </w:style>
  <w:style w:type="character" w:customStyle="1" w:styleId="12">
    <w:name w:val="页脚 字符"/>
    <w:basedOn w:val="8"/>
    <w:link w:val="4"/>
    <w:qFormat/>
    <w:uiPriority w:val="99"/>
    <w:rPr>
      <w:sz w:val="18"/>
      <w:szCs w:val="18"/>
      <w:lang w:val="en-GB"/>
    </w:rPr>
  </w:style>
  <w:style w:type="character" w:customStyle="1" w:styleId="13">
    <w:name w:val="批注框文本 字符"/>
    <w:basedOn w:val="8"/>
    <w:link w:val="3"/>
    <w:semiHidden/>
    <w:qFormat/>
    <w:uiPriority w:val="99"/>
    <w:rPr>
      <w:sz w:val="18"/>
      <w:szCs w:val="18"/>
      <w:lang w:val="en-GB"/>
    </w:rPr>
  </w:style>
  <w:style w:type="character" w:styleId="14">
    <w:name w:val="Placeholder Text"/>
    <w:basedOn w:val="8"/>
    <w:semiHidden/>
    <w:qFormat/>
    <w:uiPriority w:val="99"/>
    <w:rPr>
      <w:color w:val="808080"/>
    </w:rPr>
  </w:style>
  <w:style w:type="character" w:customStyle="1" w:styleId="15">
    <w:name w:val="正文文本缩进 2 字符"/>
    <w:basedOn w:val="8"/>
    <w:link w:val="2"/>
    <w:qFormat/>
    <w:uiPriority w:val="0"/>
    <w:rPr>
      <w:rFonts w:ascii="Times New Roman" w:hAnsi="Times New Roman" w:eastAsia="宋体" w:cs="Times New Roman"/>
      <w:kern w:val="0"/>
      <w:sz w:val="24"/>
      <w:szCs w:val="20"/>
      <w:lang w:val="zh-CN" w:eastAsia="zh-CN"/>
    </w:rPr>
  </w:style>
  <w:style w:type="character" w:customStyle="1" w:styleId="16">
    <w:name w:val="未处理的提及1"/>
    <w:basedOn w:val="8"/>
    <w:semiHidden/>
    <w:unhideWhenUsed/>
    <w:qFormat/>
    <w:uiPriority w:val="99"/>
    <w:rPr>
      <w:color w:val="605E5C"/>
      <w:shd w:val="clear" w:color="auto" w:fill="E1DFDD"/>
    </w:rPr>
  </w:style>
  <w:style w:type="character" w:customStyle="1" w:styleId="17">
    <w:name w:val="Unresolved Mention"/>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CE1559-BF8B-4F5A-9212-E36651F5655A}">
  <ds:schemaRefs/>
</ds:datastoreItem>
</file>

<file path=docProps/app.xml><?xml version="1.0" encoding="utf-8"?>
<Properties xmlns="http://schemas.openxmlformats.org/officeDocument/2006/extended-properties" xmlns:vt="http://schemas.openxmlformats.org/officeDocument/2006/docPropsVTypes">
  <Template>Normal.dotm</Template>
  <Company>QBPC</Company>
  <Pages>13</Pages>
  <Words>1176</Words>
  <Characters>6705</Characters>
  <Lines>55</Lines>
  <Paragraphs>15</Paragraphs>
  <TotalTime>0</TotalTime>
  <ScaleCrop>false</ScaleCrop>
  <LinksUpToDate>false</LinksUpToDate>
  <CharactersWithSpaces>7866</CharactersWithSpaces>
  <Application>WPS Office_11.1.0.10446_F1E327BC-269C-435d-A152-05C5408002CA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2020-05-15T05:59:00Z</dcterms:created>
  <dc:creator>Chuanwei Bu</dc:creator>
  <cp:lastModifiedBy>xuyadong</cp:lastModifiedBy>
  <cp:lastPrinted>2020-06-22T07:05:00Z</cp:lastPrinted>
  <dcterms:modified xsi:type="dcterms:W3CDTF">2021-04-02T03:19:43Z</dcterms:modified>
  <cp:revision>387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2052-11.1.0.10446</vt:lpwstr>
  </property>
  <property fmtid="{D5CDD505-2E9C-101B-9397-08002B2CF9AE}" pid="3" name="ICV">
    <vt:lpwstr>9B7BAFA23A5844C29D8425EBA2E195EA</vt:lpwstr>
  </property>
</Properties>
</file>