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360" w:lineRule="auto"/>
        <w:ind w:left="8364" w:hanging="8364"/>
        <w:jc w:val="center"/>
        <w:rPr>
          <w:rFonts w:ascii="宋体" w:hAnsi="宋体" w:eastAsia="宋体" w:cs="宋体"/>
          <w:b/>
          <w:color w:val="000000"/>
          <w:sz w:val="36"/>
          <w:szCs w:val="36"/>
          <w:lang w:eastAsia="zh-CN"/>
        </w:rPr>
      </w:pPr>
      <w:r>
        <w:rPr>
          <w:rFonts w:hint="eastAsia" w:ascii="宋体" w:hAnsi="宋体" w:eastAsia="宋体" w:cs="宋体"/>
          <w:b/>
          <w:color w:val="000000"/>
          <w:sz w:val="36"/>
          <w:szCs w:val="36"/>
          <w:lang w:eastAsia="zh-CN"/>
        </w:rPr>
        <w:t xml:space="preserve">结算确认书            </w:t>
      </w:r>
    </w:p>
    <w:p>
      <w:pPr>
        <w:rPr>
          <w:rFonts w:ascii="宋体" w:hAnsi="宋体" w:eastAsia="宋体" w:cs="宋体"/>
          <w:b/>
          <w:color w:val="000000"/>
          <w:szCs w:val="21"/>
        </w:rPr>
      </w:pPr>
      <w:r>
        <w:rPr>
          <w:rFonts w:hint="eastAsia" w:ascii="宋体" w:hAnsi="宋体" w:eastAsia="宋体" w:cs="宋体"/>
          <w:b/>
          <w:color w:val="000000"/>
          <w:szCs w:val="21"/>
        </w:rPr>
        <w:t>甲方:上海伴兴实业发展有限公司</w:t>
      </w:r>
    </w:p>
    <w:p>
      <w:pPr>
        <w:rPr>
          <w:rFonts w:ascii="宋体" w:hAnsi="宋体" w:eastAsia="宋体" w:cs="宋体"/>
          <w:b/>
          <w:color w:val="000000"/>
          <w:szCs w:val="21"/>
        </w:rPr>
      </w:pPr>
      <w:r>
        <w:rPr>
          <w:rFonts w:hint="eastAsia" w:ascii="宋体" w:hAnsi="宋体" w:eastAsia="宋体" w:cs="宋体"/>
          <w:b/>
          <w:color w:val="000000"/>
          <w:szCs w:val="21"/>
        </w:rPr>
        <w:t>乙方</w:t>
      </w:r>
      <w:r>
        <w:rPr>
          <w:rFonts w:hint="eastAsia" w:ascii="宋体" w:hAnsi="宋体" w:eastAsia="宋体" w:cs="宋体"/>
          <w:b/>
          <w:szCs w:val="21"/>
        </w:rPr>
        <w:t>:</w:t>
      </w:r>
      <w:r>
        <w:rPr>
          <w:rFonts w:ascii="宋体" w:hAnsi="宋体" w:eastAsia="宋体" w:cs="宋体"/>
          <w:b/>
          <w:szCs w:val="21"/>
        </w:rPr>
        <w:t>{{ClientName}}</w:t>
      </w:r>
    </w:p>
    <w:p>
      <w:pPr>
        <w:pStyle w:val="13"/>
        <w:rPr>
          <w:rFonts w:ascii="宋体" w:hAnsi="宋体" w:eastAsia="宋体" w:cs="宋体"/>
          <w:b/>
          <w:color w:val="000000"/>
          <w:szCs w:val="21"/>
        </w:rPr>
      </w:pPr>
    </w:p>
    <w:p>
      <w:pPr>
        <w:pStyle w:val="13"/>
        <w:ind w:firstLine="420" w:firstLineChars="200"/>
        <w:rPr>
          <w:rFonts w:ascii="宋体" w:hAnsi="宋体" w:eastAsia="宋体" w:cs="宋体"/>
          <w:color w:val="000000"/>
          <w:szCs w:val="21"/>
        </w:rPr>
      </w:pPr>
      <w:r>
        <w:rPr>
          <w:rFonts w:hint="eastAsia" w:ascii="宋体" w:hAnsi="宋体" w:eastAsia="宋体" w:cs="宋体"/>
          <w:color w:val="000000"/>
          <w:szCs w:val="21"/>
        </w:rPr>
        <w:t>本确认书适用于甲方和乙方已签署的《中国证券期货市场衍生品交易主协议》(以下称“主协议”)、《中国证券期货市场衍生品交易主协议补充协议》(以下称“补充协议”)及交易确认书,构成主协议中所指的“交易有效约定”,与主协议、补充协议和交易确认书共同构成甲、乙双方之间单一和完整的协议。</w:t>
      </w:r>
    </w:p>
    <w:p>
      <w:pPr>
        <w:pStyle w:val="13"/>
        <w:ind w:firstLine="420" w:firstLineChars="200"/>
        <w:rPr>
          <w:rFonts w:ascii="宋体" w:hAnsi="宋体" w:eastAsia="宋体" w:cs="宋体"/>
          <w:color w:val="000000"/>
          <w:szCs w:val="21"/>
        </w:rPr>
      </w:pPr>
      <w:r>
        <w:rPr>
          <w:rFonts w:hint="eastAsia" w:ascii="宋体" w:hAnsi="宋体" w:eastAsia="宋体" w:cs="宋体"/>
          <w:color w:val="000000"/>
          <w:szCs w:val="21"/>
        </w:rPr>
        <w:t>本确认书是主协议及补充协议的补充,当本确认书与主协议及补充协议有冲突时,以本确认书为准。本确认书未做约定的事项应遵从主协议及补充协议的约定。</w:t>
      </w:r>
    </w:p>
    <w:p>
      <w:pPr>
        <w:pStyle w:val="13"/>
        <w:ind w:firstLine="420" w:firstLineChars="200"/>
        <w:rPr>
          <w:rFonts w:ascii="宋体" w:hAnsi="宋体" w:eastAsia="宋体" w:cs="宋体"/>
          <w:color w:val="000000"/>
          <w:szCs w:val="21"/>
        </w:rPr>
      </w:pPr>
      <w:r>
        <w:rPr>
          <w:rFonts w:hint="eastAsia" w:ascii="宋体" w:hAnsi="宋体" w:eastAsia="宋体" w:cs="宋体"/>
          <w:color w:val="000000"/>
          <w:szCs w:val="21"/>
        </w:rPr>
        <w:t>乙方申请终止下述交易，具体明细如下：</w:t>
      </w:r>
      <w:bookmarkStart w:id="0" w:name="_Hlk29214867"/>
      <w:r>
        <w:rPr>
          <w:rFonts w:hint="eastAsia" w:ascii="宋体" w:hAnsi="宋体" w:eastAsia="宋体" w:cs="宋体"/>
          <w:color w:val="FF0000"/>
          <w:szCs w:val="21"/>
        </w:rPr>
        <w:t xml:space="preserve"> </w:t>
      </w:r>
      <w:bookmarkEnd w:id="0"/>
    </w:p>
    <w:tbl>
      <w:tblPr>
        <w:tblStyle w:val="8"/>
        <w:tblW w:w="5000" w:type="pct"/>
        <w:tblInd w:w="0" w:type="dxa"/>
        <w:tblLayout w:type="fixed"/>
        <w:tblCellMar>
          <w:top w:w="0" w:type="dxa"/>
          <w:left w:w="108" w:type="dxa"/>
          <w:bottom w:w="0" w:type="dxa"/>
          <w:right w:w="108" w:type="dxa"/>
        </w:tblCellMar>
      </w:tblPr>
      <w:tblGrid>
        <w:gridCol w:w="1115"/>
        <w:gridCol w:w="698"/>
        <w:gridCol w:w="1115"/>
        <w:gridCol w:w="1115"/>
        <w:gridCol w:w="1112"/>
        <w:gridCol w:w="1228"/>
        <w:gridCol w:w="694"/>
        <w:gridCol w:w="977"/>
        <w:gridCol w:w="974"/>
        <w:gridCol w:w="974"/>
        <w:gridCol w:w="836"/>
        <w:gridCol w:w="835"/>
        <w:gridCol w:w="1114"/>
        <w:gridCol w:w="835"/>
        <w:gridCol w:w="1393"/>
      </w:tblGrid>
      <w:tr>
        <w:tblPrEx>
          <w:tblCellMar>
            <w:top w:w="0" w:type="dxa"/>
            <w:left w:w="108" w:type="dxa"/>
            <w:bottom w:w="0" w:type="dxa"/>
            <w:right w:w="108" w:type="dxa"/>
          </w:tblCellMar>
        </w:tblPrEx>
        <w:tc>
          <w:tcPr>
            <w:tcW w:w="3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rPr>
                <w:rFonts w:ascii="宋体" w:hAnsi="宋体" w:eastAsia="宋体" w:cs="宋体"/>
                <w:color w:val="000000"/>
                <w:sz w:val="20"/>
                <w:szCs w:val="20"/>
              </w:rPr>
            </w:pPr>
            <w:r>
              <w:rPr>
                <w:rFonts w:hint="eastAsia" w:ascii="宋体" w:hAnsi="宋体" w:eastAsia="宋体" w:cs="宋体"/>
                <w:color w:val="000000"/>
                <w:sz w:val="20"/>
                <w:szCs w:val="20"/>
              </w:rPr>
              <w:t>交易确认书编号</w:t>
            </w:r>
          </w:p>
        </w:tc>
        <w:tc>
          <w:tcPr>
            <w:tcW w:w="232" w:type="pct"/>
            <w:tcBorders>
              <w:top w:val="single" w:color="auto" w:sz="4" w:space="0"/>
              <w:left w:val="nil"/>
              <w:bottom w:val="single" w:color="auto" w:sz="4" w:space="0"/>
              <w:right w:val="nil"/>
            </w:tcBorders>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结算序号</w:t>
            </w:r>
          </w:p>
        </w:tc>
        <w:tc>
          <w:tcPr>
            <w:tcW w:w="37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结算类型</w:t>
            </w:r>
          </w:p>
        </w:tc>
        <w:tc>
          <w:tcPr>
            <w:tcW w:w="37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结算日期</w:t>
            </w:r>
          </w:p>
        </w:tc>
        <w:tc>
          <w:tcPr>
            <w:tcW w:w="37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期权类型</w:t>
            </w:r>
          </w:p>
        </w:tc>
        <w:tc>
          <w:tcPr>
            <w:tcW w:w="40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标的资产</w:t>
            </w:r>
          </w:p>
        </w:tc>
        <w:tc>
          <w:tcPr>
            <w:tcW w:w="23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计价单位</w:t>
            </w:r>
          </w:p>
        </w:tc>
        <w:tc>
          <w:tcPr>
            <w:tcW w:w="32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执行价</w:t>
            </w:r>
          </w:p>
        </w:tc>
        <w:tc>
          <w:tcPr>
            <w:tcW w:w="3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标的结算价</w:t>
            </w:r>
          </w:p>
        </w:tc>
        <w:tc>
          <w:tcPr>
            <w:tcW w:w="3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结算数量</w:t>
            </w:r>
          </w:p>
        </w:tc>
        <w:tc>
          <w:tcPr>
            <w:tcW w:w="27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期权成交单价</w:t>
            </w:r>
          </w:p>
        </w:tc>
        <w:tc>
          <w:tcPr>
            <w:tcW w:w="27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期权结算单价</w:t>
            </w:r>
          </w:p>
        </w:tc>
        <w:tc>
          <w:tcPr>
            <w:tcW w:w="37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期权结算总价</w:t>
            </w:r>
          </w:p>
        </w:tc>
        <w:tc>
          <w:tcPr>
            <w:tcW w:w="278" w:type="pct"/>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剩余数量</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乙方结算盈亏</w:t>
            </w:r>
          </w:p>
        </w:tc>
      </w:tr>
      <w:tr>
        <w:tblPrEx>
          <w:tblCellMar>
            <w:top w:w="0" w:type="dxa"/>
            <w:left w:w="108" w:type="dxa"/>
            <w:bottom w:w="0" w:type="dxa"/>
            <w:right w:w="108" w:type="dxa"/>
          </w:tblCellMar>
        </w:tblPrEx>
        <w:tc>
          <w:tcPr>
            <w:tcW w:w="5000"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{{#loop table1}}</w:t>
            </w:r>
          </w:p>
        </w:tc>
      </w:tr>
      <w:tr>
        <w:tblPrEx>
          <w:tblCellMar>
            <w:top w:w="0" w:type="dxa"/>
            <w:left w:w="108" w:type="dxa"/>
            <w:bottom w:w="0" w:type="dxa"/>
            <w:right w:w="108" w:type="dxa"/>
          </w:tblCellMar>
        </w:tblPrEx>
        <w:tc>
          <w:tcPr>
            <w:tcW w:w="3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jc w:val="center"/>
              <w:rPr>
                <w:rFonts w:ascii="宋体" w:hAnsi="宋体" w:eastAsia="宋体" w:cs="宋体"/>
                <w:color w:val="000000"/>
                <w:sz w:val="20"/>
                <w:szCs w:val="20"/>
              </w:rPr>
            </w:pPr>
            <w:r>
              <w:rPr>
                <w:rFonts w:hint="eastAsia" w:ascii="宋体" w:hAnsi="宋体" w:eastAsia="宋体" w:cs="宋体"/>
                <w:color w:val="000000"/>
                <w:sz w:val="20"/>
                <w:szCs w:val="20"/>
              </w:rPr>
              <w:t>{{.交易确认书编号}}</w:t>
            </w:r>
          </w:p>
        </w:tc>
        <w:tc>
          <w:tcPr>
            <w:tcW w:w="232" w:type="pct"/>
            <w:tcBorders>
              <w:top w:val="single" w:color="auto" w:sz="4" w:space="0"/>
              <w:left w:val="nil"/>
              <w:bottom w:val="single" w:color="auto" w:sz="4" w:space="0"/>
              <w:right w:val="nil"/>
            </w:tcBorders>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{{.结算序号}}</w:t>
            </w:r>
          </w:p>
        </w:tc>
        <w:tc>
          <w:tcPr>
            <w:tcW w:w="37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{{.结算类型}}</w:t>
            </w:r>
          </w:p>
        </w:tc>
        <w:tc>
          <w:tcPr>
            <w:tcW w:w="37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{{.结算日期}}</w:t>
            </w:r>
          </w:p>
        </w:tc>
        <w:tc>
          <w:tcPr>
            <w:tcW w:w="37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{{.期权类型}}</w:t>
            </w:r>
          </w:p>
        </w:tc>
        <w:tc>
          <w:tcPr>
            <w:tcW w:w="40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{{.标的资产}}</w:t>
            </w:r>
          </w:p>
        </w:tc>
        <w:tc>
          <w:tcPr>
            <w:tcW w:w="23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{{.计价单位}}</w:t>
            </w:r>
          </w:p>
        </w:tc>
        <w:tc>
          <w:tcPr>
            <w:tcW w:w="32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{{.执行价}}</w:t>
            </w:r>
          </w:p>
        </w:tc>
        <w:tc>
          <w:tcPr>
            <w:tcW w:w="3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{{.标的结算价}}</w:t>
            </w:r>
          </w:p>
        </w:tc>
        <w:tc>
          <w:tcPr>
            <w:tcW w:w="3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{{.结算数量}}</w:t>
            </w:r>
          </w:p>
        </w:tc>
        <w:tc>
          <w:tcPr>
            <w:tcW w:w="27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{{.期权成交单价}}</w:t>
            </w:r>
          </w:p>
        </w:tc>
        <w:tc>
          <w:tcPr>
            <w:tcW w:w="27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{{.期权结算单价}}</w:t>
            </w:r>
          </w:p>
        </w:tc>
        <w:tc>
          <w:tcPr>
            <w:tcW w:w="37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{{.期权结算总价}}</w:t>
            </w:r>
          </w:p>
        </w:tc>
        <w:tc>
          <w:tcPr>
            <w:tcW w:w="278" w:type="pct"/>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{{.剩余数量}}</w:t>
            </w:r>
          </w:p>
        </w:tc>
        <w:tc>
          <w:tcPr>
            <w:tcW w:w="46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sz w:val="20"/>
                <w:szCs w:val="20"/>
              </w:rPr>
            </w:pPr>
            <w:r>
              <w:rPr>
                <w:rFonts w:hint="eastAsia" w:ascii="宋体" w:hAnsi="宋体" w:eastAsia="宋体" w:cs="宋体"/>
                <w:color w:val="000000"/>
                <w:sz w:val="20"/>
                <w:szCs w:val="20"/>
              </w:rPr>
              <w:t>{{.乙方结算盈亏}}</w:t>
            </w:r>
          </w:p>
        </w:tc>
      </w:tr>
      <w:tr>
        <w:tblPrEx>
          <w:tblCellMar>
            <w:top w:w="0" w:type="dxa"/>
            <w:left w:w="108" w:type="dxa"/>
            <w:bottom w:w="0" w:type="dxa"/>
            <w:right w:w="108" w:type="dxa"/>
          </w:tblCellMar>
        </w:tblPrEx>
        <w:tc>
          <w:tcPr>
            <w:tcW w:w="5000"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w:t>
            </w:r>
            <w:bookmarkStart w:id="2" w:name="_GoBack"/>
            <w:bookmarkEnd w:id="2"/>
            <w:r>
              <w:rPr>
                <w:rFonts w:hint="eastAsia" w:ascii="宋体" w:hAnsi="宋体" w:eastAsia="宋体" w:cs="宋体"/>
                <w:color w:val="000000"/>
                <w:sz w:val="20"/>
                <w:szCs w:val="20"/>
                <w:lang w:val="en-US" w:eastAsia="zh-CN"/>
              </w:rPr>
              <w:t>loop table1}}</w:t>
            </w:r>
          </w:p>
        </w:tc>
      </w:tr>
    </w:tbl>
    <w:p>
      <w:pPr>
        <w:pStyle w:val="13"/>
        <w:ind w:firstLine="420" w:firstLineChars="200"/>
        <w:rPr>
          <w:rFonts w:ascii="宋体" w:hAnsi="宋体" w:eastAsia="宋体" w:cs="宋体"/>
          <w:color w:val="000000"/>
          <w:szCs w:val="21"/>
        </w:rPr>
      </w:pPr>
      <w:r>
        <w:rPr>
          <w:rFonts w:hint="eastAsia" w:ascii="宋体" w:hAnsi="宋体" w:eastAsia="宋体" w:cs="宋体"/>
          <w:color w:val="000000"/>
          <w:szCs w:val="21"/>
        </w:rPr>
        <w:t xml:space="preserve">本确认书下乙方总计结算盈亏金额¥  </w:t>
      </w:r>
      <w:r>
        <w:rPr>
          <w:rFonts w:ascii="宋体" w:hAnsi="宋体" w:eastAsia="宋体" w:cs="宋体"/>
          <w:color w:val="000000"/>
          <w:szCs w:val="21"/>
        </w:rPr>
        <w:t>{{TotalPnl}}</w:t>
      </w:r>
      <w:r>
        <w:rPr>
          <w:rFonts w:hint="eastAsia" w:ascii="宋体" w:hAnsi="宋体" w:eastAsia="宋体" w:cs="宋体"/>
          <w:color w:val="000000"/>
          <w:szCs w:val="21"/>
        </w:rPr>
        <w:t xml:space="preserve"> 元（大写： </w:t>
      </w:r>
      <w:r>
        <w:rPr>
          <w:rFonts w:ascii="宋体" w:hAnsi="宋体" w:eastAsia="宋体" w:cs="宋体"/>
          <w:color w:val="000000"/>
          <w:szCs w:val="21"/>
        </w:rPr>
        <w:t>{{TotalPnlCn}}</w:t>
      </w:r>
      <w:r>
        <w:rPr>
          <w:rFonts w:hint="eastAsia" w:ascii="宋体" w:hAnsi="宋体" w:eastAsia="宋体" w:cs="宋体"/>
          <w:color w:val="000000"/>
          <w:szCs w:val="21"/>
        </w:rPr>
        <w:t>），（付款方）应在本确认书生效并收到（收款方）申请后</w:t>
      </w:r>
      <w:r>
        <w:rPr>
          <w:rFonts w:ascii="宋体" w:hAnsi="宋体" w:eastAsia="宋体" w:cs="宋体"/>
          <w:color w:val="000000"/>
          <w:szCs w:val="21"/>
        </w:rPr>
        <w:t xml:space="preserve">     </w:t>
      </w:r>
      <w:r>
        <w:rPr>
          <w:rFonts w:hint="eastAsia" w:ascii="宋体" w:hAnsi="宋体" w:eastAsia="宋体" w:cs="宋体"/>
          <w:color w:val="000000"/>
          <w:szCs w:val="21"/>
        </w:rPr>
        <w:t>日内向（收款方）支付结算金额。</w:t>
      </w:r>
    </w:p>
    <w:p>
      <w:pPr>
        <w:pStyle w:val="13"/>
        <w:jc w:val="center"/>
        <w:rPr>
          <w:rFonts w:ascii="宋体" w:hAnsi="宋体" w:eastAsia="宋体" w:cs="宋体"/>
          <w:sz w:val="20"/>
        </w:rPr>
      </w:pPr>
    </w:p>
    <w:p>
      <w:pPr>
        <w:pStyle w:val="13"/>
        <w:rPr>
          <w:rFonts w:ascii="宋体" w:hAnsi="宋体" w:eastAsia="宋体" w:cs="宋体"/>
          <w:b/>
          <w:color w:val="000000"/>
          <w:szCs w:val="21"/>
          <w:shd w:val="pct10" w:color="auto" w:fill="FFFFFF"/>
        </w:rPr>
      </w:pPr>
      <w:r>
        <w:rPr>
          <w:rFonts w:hint="eastAsia" w:ascii="宋体" w:hAnsi="宋体" w:eastAsia="宋体" w:cs="宋体"/>
          <w:b/>
          <w:color w:val="000000"/>
          <w:szCs w:val="21"/>
          <w:shd w:val="pct10" w:color="auto" w:fill="FFFFFF"/>
        </w:rPr>
        <w:t xml:space="preserve">声明：                                                                                                                                             </w:t>
      </w:r>
    </w:p>
    <w:p>
      <w:pPr>
        <w:pStyle w:val="13"/>
        <w:numPr>
          <w:ilvl w:val="0"/>
          <w:numId w:val="1"/>
        </w:numPr>
        <w:rPr>
          <w:rFonts w:ascii="宋体" w:hAnsi="宋体" w:eastAsia="宋体" w:cs="宋体"/>
          <w:color w:val="000000"/>
          <w:szCs w:val="21"/>
        </w:rPr>
      </w:pPr>
      <w:bookmarkStart w:id="1" w:name="_Hlk29213584"/>
      <w:r>
        <w:rPr>
          <w:rFonts w:hint="eastAsia" w:ascii="宋体" w:hAnsi="宋体" w:eastAsia="宋体" w:cs="宋体"/>
          <w:color w:val="000000"/>
          <w:szCs w:val="21"/>
        </w:rPr>
        <w:t>甲方不对乙方的实际交易意图及行为后果承担任何法律责任。</w:t>
      </w:r>
    </w:p>
    <w:bookmarkEnd w:id="1"/>
    <w:p>
      <w:pPr>
        <w:pStyle w:val="13"/>
        <w:numPr>
          <w:ilvl w:val="0"/>
          <w:numId w:val="1"/>
        </w:numPr>
        <w:rPr>
          <w:rFonts w:ascii="宋体" w:hAnsi="宋体" w:eastAsia="宋体" w:cs="宋体"/>
          <w:color w:val="000000"/>
          <w:szCs w:val="21"/>
        </w:rPr>
      </w:pPr>
      <w:r>
        <w:rPr>
          <w:rFonts w:hint="eastAsia" w:ascii="宋体" w:hAnsi="宋体" w:eastAsia="宋体" w:cs="宋体"/>
          <w:color w:val="000000"/>
          <w:szCs w:val="21"/>
        </w:rPr>
        <w:t>乙方确认,乙方已知晓本确认书项下交易的各种风险因素(包括但不限于信用风险、市场风险、流动性风险、操作风险、法律风险等)。经自主和独立判断，乙方已经完全理解该笔交易的条款和各种隐含风险，明确办理此笔交易对乙方的法律、税务和财务会计影响，并对此具有足够的承受能力。乙方确保在完全自愿的基础上从事此项交易，并确认办理此笔交易符合乙方的交易目的。</w:t>
      </w:r>
    </w:p>
    <w:p>
      <w:pPr>
        <w:pStyle w:val="13"/>
        <w:numPr>
          <w:ilvl w:val="0"/>
          <w:numId w:val="1"/>
        </w:numPr>
        <w:rPr>
          <w:rFonts w:ascii="宋体" w:hAnsi="宋体" w:eastAsia="宋体" w:cs="宋体"/>
          <w:color w:val="000000"/>
          <w:szCs w:val="21"/>
        </w:rPr>
      </w:pPr>
      <w:r>
        <w:rPr>
          <w:rFonts w:hint="eastAsia" w:ascii="宋体" w:hAnsi="宋体" w:eastAsia="宋体" w:cs="宋体"/>
          <w:color w:val="000000"/>
          <w:szCs w:val="21"/>
        </w:rPr>
        <w:t>乙方已了解交易确认书和本确认书的最差情况及最大亏损或潜在亏损，并对此具有足够的承受能力。乙方保证不以潜在风险为理由拖延或拒绝履行本交易项下交易的各项义务。</w:t>
      </w:r>
    </w:p>
    <w:p>
      <w:pPr>
        <w:pStyle w:val="13"/>
        <w:numPr>
          <w:ilvl w:val="0"/>
          <w:numId w:val="1"/>
        </w:numPr>
        <w:rPr>
          <w:rFonts w:ascii="宋体" w:hAnsi="宋体" w:eastAsia="宋体" w:cs="宋体"/>
          <w:color w:val="000000"/>
          <w:szCs w:val="21"/>
        </w:rPr>
      </w:pPr>
      <w:r>
        <w:rPr>
          <w:rFonts w:hint="eastAsia" w:ascii="宋体" w:hAnsi="宋体" w:eastAsia="宋体" w:cs="宋体"/>
          <w:color w:val="000000"/>
          <w:szCs w:val="21"/>
        </w:rPr>
        <w:t>本确认书经双方盖章后生效,传真件、扫描件与原件具有同等效力。</w:t>
      </w:r>
    </w:p>
    <w:p>
      <w:pPr>
        <w:pStyle w:val="13"/>
        <w:ind w:firstLine="420" w:firstLineChars="200"/>
        <w:rPr>
          <w:rFonts w:ascii="宋体" w:hAnsi="宋体" w:eastAsia="宋体" w:cs="宋体"/>
          <w:color w:val="000000"/>
          <w:szCs w:val="21"/>
        </w:rPr>
      </w:pPr>
    </w:p>
    <w:p>
      <w:pPr>
        <w:pStyle w:val="13"/>
        <w:rPr>
          <w:rFonts w:ascii="宋体" w:hAnsi="宋体" w:eastAsia="宋体" w:cs="宋体"/>
          <w:color w:val="000000"/>
          <w:szCs w:val="21"/>
        </w:rPr>
      </w:pPr>
      <w:r>
        <w:rPr>
          <w:rFonts w:hint="eastAsia" w:ascii="宋体" w:hAnsi="宋体" w:eastAsia="宋体" w:cs="宋体"/>
          <w:color w:val="000000"/>
          <w:szCs w:val="21"/>
        </w:rPr>
        <w:t xml:space="preserve">甲方（公章）：上海伴兴实业发展有限公司                                                 乙方（公章）： </w:t>
      </w:r>
      <w:r>
        <w:rPr>
          <w:rFonts w:ascii="宋体" w:hAnsi="宋体" w:eastAsia="宋体" w:cs="宋体"/>
          <w:color w:val="000000"/>
          <w:szCs w:val="21"/>
        </w:rPr>
        <w:t>{{ClientName}}</w:t>
      </w:r>
    </w:p>
    <w:p>
      <w:pPr>
        <w:pStyle w:val="13"/>
        <w:rPr>
          <w:rFonts w:ascii="宋体" w:hAnsi="宋体" w:eastAsia="宋体" w:cs="宋体"/>
          <w:color w:val="000000"/>
          <w:szCs w:val="21"/>
        </w:rPr>
      </w:pPr>
      <w:r>
        <w:rPr>
          <w:rFonts w:hint="eastAsia" w:ascii="宋体" w:hAnsi="宋体" w:eastAsia="宋体" w:cs="宋体"/>
          <w:color w:val="000000"/>
          <w:szCs w:val="21"/>
        </w:rPr>
        <w:t>日期：                                                                                日期：</w:t>
      </w:r>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1021" w:right="1021" w:bottom="1021" w:left="1021" w:header="73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FKai-SB">
    <w:altName w:val="Microsoft JhengHei Light"/>
    <w:panose1 w:val="03000509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1820"/>
        <w:tab w:val="clear" w:pos="4153"/>
        <w:tab w:val="clear" w:pos="8306"/>
      </w:tabs>
      <w:jc w:val="left"/>
      <w:rPr>
        <w:b/>
        <w:color w:val="404040"/>
      </w:rPr>
    </w:pPr>
  </w:p>
  <w:p>
    <w:pPr>
      <w:pStyle w:val="7"/>
      <w:tabs>
        <w:tab w:val="left" w:pos="12180"/>
        <w:tab w:val="clear" w:pos="4153"/>
        <w:tab w:val="clear" w:pos="8306"/>
      </w:tabs>
      <w:jc w:val="left"/>
    </w:pPr>
    <w:r>
      <w:rPr>
        <w:rFonts w:hint="eastAsia"/>
        <w:b/>
        <w:color w:val="404040"/>
      </w:rPr>
      <w:t>上海伴兴实业发展有限公司</w:t>
    </w:r>
    <w:r>
      <w:rPr>
        <w:b/>
        <w:color w:val="40404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59578D"/>
    <w:multiLevelType w:val="multilevel"/>
    <w:tmpl w:val="5259578D"/>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D4C"/>
    <w:rsid w:val="00067739"/>
    <w:rsid w:val="00067FFE"/>
    <w:rsid w:val="000874D2"/>
    <w:rsid w:val="000B7EFA"/>
    <w:rsid w:val="000F171E"/>
    <w:rsid w:val="00192486"/>
    <w:rsid w:val="001B0FA4"/>
    <w:rsid w:val="001B5CF9"/>
    <w:rsid w:val="001F195E"/>
    <w:rsid w:val="00202528"/>
    <w:rsid w:val="00212502"/>
    <w:rsid w:val="002A1333"/>
    <w:rsid w:val="002A1670"/>
    <w:rsid w:val="002B09B0"/>
    <w:rsid w:val="002E4910"/>
    <w:rsid w:val="00302D51"/>
    <w:rsid w:val="00312457"/>
    <w:rsid w:val="0035479D"/>
    <w:rsid w:val="0039191A"/>
    <w:rsid w:val="00394E62"/>
    <w:rsid w:val="003E64B5"/>
    <w:rsid w:val="004218A0"/>
    <w:rsid w:val="0042403B"/>
    <w:rsid w:val="00473DAD"/>
    <w:rsid w:val="00477E58"/>
    <w:rsid w:val="00490AB2"/>
    <w:rsid w:val="004A0801"/>
    <w:rsid w:val="004A105F"/>
    <w:rsid w:val="004C41A2"/>
    <w:rsid w:val="004F12F0"/>
    <w:rsid w:val="00506A2D"/>
    <w:rsid w:val="00541A64"/>
    <w:rsid w:val="005763C1"/>
    <w:rsid w:val="00593CDB"/>
    <w:rsid w:val="00593D3B"/>
    <w:rsid w:val="005C341B"/>
    <w:rsid w:val="00613D5C"/>
    <w:rsid w:val="006166AE"/>
    <w:rsid w:val="0062343D"/>
    <w:rsid w:val="00634724"/>
    <w:rsid w:val="00685724"/>
    <w:rsid w:val="00692EEA"/>
    <w:rsid w:val="006F4361"/>
    <w:rsid w:val="00754F9C"/>
    <w:rsid w:val="00777A40"/>
    <w:rsid w:val="007B4414"/>
    <w:rsid w:val="008C5FAB"/>
    <w:rsid w:val="00920663"/>
    <w:rsid w:val="00943703"/>
    <w:rsid w:val="00972315"/>
    <w:rsid w:val="00976D4C"/>
    <w:rsid w:val="00991FAC"/>
    <w:rsid w:val="009F4CFA"/>
    <w:rsid w:val="00B0065D"/>
    <w:rsid w:val="00B5161E"/>
    <w:rsid w:val="00B56116"/>
    <w:rsid w:val="00BC0EA5"/>
    <w:rsid w:val="00BD1A31"/>
    <w:rsid w:val="00BF2E7E"/>
    <w:rsid w:val="00C266D4"/>
    <w:rsid w:val="00CB1CA3"/>
    <w:rsid w:val="00CE2C1A"/>
    <w:rsid w:val="00CF27C4"/>
    <w:rsid w:val="00D22A81"/>
    <w:rsid w:val="00D82427"/>
    <w:rsid w:val="00DC42C3"/>
    <w:rsid w:val="00E31C61"/>
    <w:rsid w:val="00E93D19"/>
    <w:rsid w:val="00EE22D4"/>
    <w:rsid w:val="00F553AA"/>
    <w:rsid w:val="00F83F36"/>
    <w:rsid w:val="00FA0140"/>
    <w:rsid w:val="00FD5BAC"/>
    <w:rsid w:val="021C0BD4"/>
    <w:rsid w:val="04E7796A"/>
    <w:rsid w:val="1DF8408D"/>
    <w:rsid w:val="2BEA0375"/>
    <w:rsid w:val="40CB2021"/>
    <w:rsid w:val="4ECF2C73"/>
    <w:rsid w:val="52CF1E69"/>
    <w:rsid w:val="59D07FB3"/>
    <w:rsid w:val="6BDB7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semiHidden/>
    <w:qFormat/>
    <w:uiPriority w:val="0"/>
    <w:pPr>
      <w:adjustRightInd w:val="0"/>
      <w:spacing w:before="120" w:after="120" w:line="360" w:lineRule="atLeast"/>
      <w:ind w:left="7145" w:hanging="624"/>
      <w:textAlignment w:val="baseline"/>
    </w:pPr>
    <w:rPr>
      <w:rFonts w:eastAsia="DFKai-SB"/>
      <w:color w:val="000080"/>
      <w:kern w:val="16"/>
      <w:sz w:val="26"/>
      <w:szCs w:val="20"/>
      <w:lang w:eastAsia="zh-TW"/>
    </w:rPr>
  </w:style>
  <w:style w:type="paragraph" w:styleId="3">
    <w:name w:val="annotation text"/>
    <w:basedOn w:val="1"/>
    <w:semiHidden/>
    <w:unhideWhenUsed/>
    <w:qFormat/>
    <w:uiPriority w:val="99"/>
    <w:pPr>
      <w:jc w:val="left"/>
    </w:pPr>
  </w:style>
  <w:style w:type="paragraph" w:styleId="4">
    <w:name w:val="Body Text"/>
    <w:basedOn w:val="1"/>
    <w:link w:val="12"/>
    <w:semiHidden/>
    <w:unhideWhenUsed/>
    <w:qFormat/>
    <w:uiPriority w:val="99"/>
    <w:pPr>
      <w:spacing w:after="120"/>
    </w:pPr>
  </w:style>
  <w:style w:type="paragraph" w:styleId="5">
    <w:name w:val="Balloon Text"/>
    <w:basedOn w:val="1"/>
    <w:link w:val="17"/>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正文文本 Char"/>
    <w:basedOn w:val="10"/>
    <w:link w:val="4"/>
    <w:semiHidden/>
    <w:qFormat/>
    <w:uiPriority w:val="99"/>
    <w:rPr>
      <w:rFonts w:ascii="Times New Roman" w:hAnsi="Times New Roman" w:cs="Times New Roman"/>
      <w:szCs w:val="24"/>
    </w:rPr>
  </w:style>
  <w:style w:type="paragraph" w:styleId="13">
    <w:name w:val="No Spacing"/>
    <w:qFormat/>
    <w:uiPriority w:val="1"/>
    <w:pPr>
      <w:widowControl w:val="0"/>
      <w:jc w:val="both"/>
    </w:pPr>
    <w:rPr>
      <w:rFonts w:ascii="Times New Roman" w:hAnsi="Times New Roman" w:cs="Times New Roman" w:eastAsiaTheme="minorEastAsia"/>
      <w:kern w:val="2"/>
      <w:sz w:val="21"/>
      <w:szCs w:val="24"/>
      <w:lang w:val="en-US" w:eastAsia="zh-CN" w:bidi="ar-SA"/>
    </w:rPr>
  </w:style>
  <w:style w:type="paragraph" w:customStyle="1" w:styleId="14">
    <w:name w:val="列出段落2"/>
    <w:basedOn w:val="1"/>
    <w:qFormat/>
    <w:uiPriority w:val="34"/>
    <w:pPr>
      <w:ind w:firstLine="420" w:firstLineChars="200"/>
    </w:pPr>
    <w:rPr>
      <w:rFonts w:eastAsia="宋体"/>
      <w:szCs w:val="20"/>
    </w:rPr>
  </w:style>
  <w:style w:type="character" w:customStyle="1" w:styleId="15">
    <w:name w:val="页眉 Char"/>
    <w:basedOn w:val="10"/>
    <w:link w:val="7"/>
    <w:qFormat/>
    <w:uiPriority w:val="99"/>
    <w:rPr>
      <w:rFonts w:ascii="Times New Roman" w:hAnsi="Times New Roman" w:cs="Times New Roman"/>
      <w:sz w:val="18"/>
      <w:szCs w:val="18"/>
    </w:rPr>
  </w:style>
  <w:style w:type="character" w:customStyle="1" w:styleId="16">
    <w:name w:val="页脚 Char"/>
    <w:basedOn w:val="10"/>
    <w:link w:val="6"/>
    <w:qFormat/>
    <w:uiPriority w:val="99"/>
    <w:rPr>
      <w:rFonts w:ascii="Times New Roman" w:hAnsi="Times New Roman" w:cs="Times New Roman"/>
      <w:sz w:val="18"/>
      <w:szCs w:val="18"/>
    </w:rPr>
  </w:style>
  <w:style w:type="character" w:customStyle="1" w:styleId="17">
    <w:name w:val="批注框文本 Char"/>
    <w:basedOn w:val="10"/>
    <w:link w:val="5"/>
    <w:semiHidden/>
    <w:qFormat/>
    <w:uiPriority w:val="99"/>
    <w:rPr>
      <w:rFonts w:eastAsiaTheme="minorEastAsia"/>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205</Words>
  <Characters>1171</Characters>
  <Lines>9</Lines>
  <Paragraphs>2</Paragraphs>
  <TotalTime>0</TotalTime>
  <ScaleCrop>false</ScaleCrop>
  <LinksUpToDate>false</LinksUpToDate>
  <CharactersWithSpaces>1374</CharactersWithSpaces>
  <Application>WPS Office_11.1.0.11622_F1E327BC-269C-435d-A152-05C5408002CA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2020-01-16T05:51:00Z</dcterms:created>
  <dc:creator>LYD</dc:creator>
  <cp:lastModifiedBy>LiuFJ</cp:lastModifiedBy>
  <dcterms:modified xsi:type="dcterms:W3CDTF">2022-04-25T13:10:23Z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2052-11.1.0.11622</vt:lpwstr>
  </property>
  <property fmtid="{D5CDD505-2E9C-101B-9397-08002B2CF9AE}" pid="3" name="ICV">
    <vt:lpwstr>EE02D56633B24537AF6B90BA3C378AC3</vt:lpwstr>
  </property>
</Properties>
</file>