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360" w:lineRule="auto"/>
        <w:ind w:left="8364" w:hanging="8364"/>
        <w:jc w:val="center"/>
        <w:rPr>
          <w:rFonts w:ascii="宋体" w:hAnsi="宋体" w:eastAsia="宋体" w:cs="宋体"/>
          <w:b/>
          <w:color w:val="000000"/>
          <w:sz w:val="36"/>
          <w:szCs w:val="36"/>
          <w:lang w:eastAsia="zh-CN"/>
        </w:rPr>
      </w:pPr>
      <w:r>
        <w:rPr>
          <w:rFonts w:hint="eastAsia" w:ascii="宋体" w:hAnsi="宋体" w:eastAsia="宋体" w:cs="宋体"/>
          <w:b/>
          <w:color w:val="000000"/>
          <w:sz w:val="36"/>
          <w:szCs w:val="36"/>
          <w:lang w:eastAsia="zh-CN"/>
        </w:rPr>
        <w:t>交易确认书</w:t>
      </w:r>
    </w:p>
    <w:p>
      <w:pPr>
        <w:pStyle w:val="11"/>
        <w:ind w:firstLine="420" w:firstLineChars="200"/>
        <w:rPr>
          <w:rFonts w:ascii="宋体" w:hAnsi="宋体" w:eastAsia="宋体" w:cs="宋体"/>
          <w:szCs w:val="21"/>
        </w:rPr>
      </w:pPr>
    </w:p>
    <w:p>
      <w:pPr>
        <w:pStyle w:val="11"/>
        <w:ind w:firstLine="422" w:firstLineChars="200"/>
        <w:rPr>
          <w:rFonts w:ascii="宋体" w:hAnsi="宋体" w:eastAsia="宋体" w:cs="宋体"/>
          <w:b/>
          <w:bCs/>
          <w:szCs w:val="21"/>
        </w:rPr>
      </w:pPr>
      <w:r>
        <w:rPr>
          <w:rFonts w:hint="eastAsia" w:ascii="宋体" w:hAnsi="宋体" w:eastAsia="宋体" w:cs="宋体"/>
          <w:b/>
          <w:bCs/>
          <w:szCs w:val="21"/>
        </w:rPr>
        <w:t>甲方:上海伴兴实业发展有限公司</w:t>
      </w:r>
    </w:p>
    <w:p>
      <w:pPr>
        <w:pStyle w:val="11"/>
        <w:ind w:firstLine="422" w:firstLineChars="200"/>
        <w:rPr>
          <w:rFonts w:ascii="宋体" w:hAnsi="宋体" w:eastAsia="宋体" w:cs="宋体"/>
          <w:b/>
          <w:bCs/>
          <w:szCs w:val="21"/>
        </w:rPr>
      </w:pPr>
      <w:r>
        <w:rPr>
          <w:rFonts w:hint="eastAsia" w:ascii="宋体" w:hAnsi="宋体" w:eastAsia="宋体" w:cs="宋体"/>
          <w:b/>
          <w:bCs/>
          <w:szCs w:val="21"/>
        </w:rPr>
        <w:t>乙方:</w:t>
      </w:r>
      <w:r>
        <w:rPr>
          <w:rFonts w:ascii="宋体" w:hAnsi="宋体" w:eastAsia="宋体" w:cs="宋体"/>
          <w:b/>
          <w:bCs/>
          <w:szCs w:val="21"/>
        </w:rPr>
        <w:t>{{</w:t>
      </w:r>
      <w:r>
        <w:rPr>
          <w:rFonts w:hint="eastAsia" w:ascii="宋体" w:hAnsi="宋体" w:eastAsia="宋体" w:cs="宋体"/>
          <w:b/>
          <w:bCs/>
          <w:szCs w:val="21"/>
          <w:lang w:val="en-US" w:eastAsia="zh-CN"/>
        </w:rPr>
        <w:t>.</w:t>
      </w:r>
      <w:r>
        <w:rPr>
          <w:rFonts w:ascii="宋体" w:hAnsi="宋体" w:eastAsia="宋体" w:cs="宋体"/>
          <w:b/>
          <w:bCs/>
          <w:szCs w:val="21"/>
        </w:rPr>
        <w:t>ClientName}}</w:t>
      </w:r>
    </w:p>
    <w:p>
      <w:pPr>
        <w:spacing w:before="62" w:beforeLines="20" w:after="62" w:afterLines="20" w:line="276" w:lineRule="auto"/>
        <w:ind w:firstLine="448"/>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我的测试:{{.MyTest.YearMonth:yyyy-MM}}</w:t>
      </w:r>
    </w:p>
    <w:p>
      <w:pPr>
        <w:spacing w:before="62" w:beforeLines="20" w:after="62" w:afterLines="20"/>
        <w:ind w:firstLine="448"/>
        <w:rPr>
          <w:rFonts w:ascii="宋体" w:hAnsi="宋体" w:eastAsia="宋体" w:cs="宋体"/>
          <w:color w:val="000000"/>
          <w:szCs w:val="21"/>
        </w:rPr>
      </w:pPr>
      <w:r>
        <w:rPr>
          <w:rFonts w:hint="eastAsia" w:ascii="宋体" w:hAnsi="宋体" w:eastAsia="宋体" w:cs="宋体"/>
          <w:color w:val="000000"/>
          <w:szCs w:val="21"/>
        </w:rPr>
        <w:t>甲乙双方已经签署了《中国证券期货市场衍生品交易主协议》（以下称“主协议”）及《中国证券期货市场衍生品交易主协议补充协议》</w:t>
      </w:r>
      <w:r>
        <w:rPr>
          <w:rFonts w:ascii="宋体" w:hAnsi="宋体" w:eastAsia="宋体" w:cs="宋体"/>
          <w:color w:val="000000"/>
          <w:szCs w:val="21"/>
        </w:rPr>
        <w:t>(以下称“补充协议”)</w:t>
      </w:r>
      <w:r>
        <w:rPr>
          <w:rFonts w:hint="eastAsia" w:ascii="宋体" w:hAnsi="宋体" w:eastAsia="宋体" w:cs="宋体"/>
          <w:color w:val="000000"/>
          <w:szCs w:val="21"/>
        </w:rPr>
        <w:t>。除非本《交易确认书》（以下称“确认书”）中另有约定，主协议和补充协议中的全部条款适用于本确认书。此外，除非本确认书对相关条目另有定义，《中国证券期货市场场外衍生品交易商品衍生品定义文件（2015年版）》中的全部定义适用于本确认书。</w:t>
      </w:r>
    </w:p>
    <w:p>
      <w:pPr>
        <w:pStyle w:val="11"/>
        <w:ind w:firstLine="420" w:firstLineChars="200"/>
        <w:rPr>
          <w:rFonts w:ascii="宋体" w:hAnsi="宋体" w:eastAsia="宋体" w:cs="宋体"/>
          <w:color w:val="000000"/>
          <w:szCs w:val="21"/>
        </w:rPr>
      </w:pPr>
      <w:r>
        <w:rPr>
          <w:rFonts w:hint="eastAsia" w:ascii="宋体" w:hAnsi="宋体" w:eastAsia="宋体" w:cs="宋体"/>
          <w:color w:val="000000"/>
          <w:szCs w:val="21"/>
        </w:rPr>
        <w:t>本确认书是甲乙双方达成下述场外衍生品交易（以下称“交易”）所进行的书面记载，具体交易内容与明细如下:</w:t>
      </w:r>
      <w:r>
        <w:rPr>
          <w:rFonts w:ascii="宋体" w:hAnsi="宋体" w:eastAsia="宋体" w:cs="宋体"/>
          <w:color w:val="FF0000"/>
          <w:szCs w:val="21"/>
        </w:rPr>
        <w:t xml:space="preserve"> </w:t>
      </w:r>
    </w:p>
    <w:tbl>
      <w:tblPr>
        <w:tblStyle w:val="8"/>
        <w:tblW w:w="5000" w:type="pct"/>
        <w:jc w:val="center"/>
        <w:tblLayout w:type="autofit"/>
        <w:tblCellMar>
          <w:top w:w="0" w:type="dxa"/>
          <w:left w:w="108" w:type="dxa"/>
          <w:bottom w:w="0" w:type="dxa"/>
          <w:right w:w="108" w:type="dxa"/>
        </w:tblCellMar>
      </w:tblPr>
      <w:tblGrid>
        <w:gridCol w:w="1002"/>
        <w:gridCol w:w="1049"/>
        <w:gridCol w:w="1687"/>
        <w:gridCol w:w="1716"/>
        <w:gridCol w:w="1716"/>
        <w:gridCol w:w="1201"/>
        <w:gridCol w:w="1006"/>
        <w:gridCol w:w="1006"/>
        <w:gridCol w:w="1006"/>
        <w:gridCol w:w="1050"/>
        <w:gridCol w:w="1261"/>
        <w:gridCol w:w="1006"/>
        <w:gridCol w:w="1044"/>
      </w:tblGrid>
      <w:tr>
        <w:tblPrEx>
          <w:tblCellMar>
            <w:top w:w="0" w:type="dxa"/>
            <w:left w:w="108" w:type="dxa"/>
            <w:bottom w:w="0" w:type="dxa"/>
            <w:right w:w="108" w:type="dxa"/>
          </w:tblCellMar>
        </w:tblPrEx>
        <w:trPr>
          <w:jc w:val="center"/>
        </w:trPr>
        <w:tc>
          <w:tcPr>
            <w:tcW w:w="353"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交易序号</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标的</w:t>
            </w:r>
          </w:p>
        </w:tc>
        <w:tc>
          <w:tcPr>
            <w:tcW w:w="57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期权类型</w:t>
            </w:r>
          </w:p>
        </w:tc>
        <w:tc>
          <w:tcPr>
            <w:tcW w:w="35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成交日</w:t>
            </w:r>
          </w:p>
        </w:tc>
        <w:tc>
          <w:tcPr>
            <w:tcW w:w="35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到期日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标的期初价格</w:t>
            </w:r>
          </w:p>
        </w:tc>
        <w:tc>
          <w:tcPr>
            <w:tcW w:w="35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执行价</w:t>
            </w:r>
          </w:p>
        </w:tc>
        <w:tc>
          <w:tcPr>
            <w:tcW w:w="35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标的数量</w:t>
            </w:r>
          </w:p>
        </w:tc>
        <w:tc>
          <w:tcPr>
            <w:tcW w:w="35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单位</w:t>
            </w:r>
          </w:p>
        </w:tc>
        <w:tc>
          <w:tcPr>
            <w:tcW w:w="36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名义本金额</w:t>
            </w:r>
          </w:p>
        </w:tc>
        <w:tc>
          <w:tcPr>
            <w:tcW w:w="435" w:type="pct"/>
            <w:tcBorders>
              <w:top w:val="single" w:color="auto" w:sz="4" w:space="0"/>
              <w:left w:val="nil"/>
              <w:bottom w:val="single" w:color="auto" w:sz="4" w:space="0"/>
              <w:right w:val="single" w:color="auto" w:sz="4" w:space="0"/>
            </w:tcBorders>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权利金支付方</w:t>
            </w:r>
          </w:p>
        </w:tc>
        <w:tc>
          <w:tcPr>
            <w:tcW w:w="35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期权单价</w:t>
            </w:r>
          </w:p>
        </w:tc>
        <w:tc>
          <w:tcPr>
            <w:tcW w:w="3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期权总价</w:t>
            </w:r>
          </w:p>
        </w:tc>
      </w:tr>
      <w:tr>
        <w:trPr>
          <w:jc w:val="center"/>
        </w:trPr>
        <w:tc>
          <w:tcPr>
            <w:tcW w:w="5000" w:type="pct"/>
            <w:gridSpan w:val="1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{{#loop table1}}</w:t>
            </w:r>
          </w:p>
        </w:tc>
      </w:tr>
      <w:tr>
        <w:tblPrEx>
          <w:tblCellMar>
            <w:top w:w="0" w:type="dxa"/>
            <w:left w:w="108" w:type="dxa"/>
            <w:bottom w:w="0" w:type="dxa"/>
            <w:right w:w="108" w:type="dxa"/>
          </w:tblCellMar>
        </w:tblPrEx>
        <w:trPr>
          <w:jc w:val="center"/>
        </w:trPr>
        <w:tc>
          <w:tcPr>
            <w:tcW w:w="353"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{{.交易序号}}</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{{.标的}}</w:t>
            </w:r>
          </w:p>
        </w:tc>
        <w:tc>
          <w:tcPr>
            <w:tcW w:w="57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{{.期权类型}}</w:t>
            </w:r>
          </w:p>
        </w:tc>
        <w:tc>
          <w:tcPr>
            <w:tcW w:w="35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{{.成交日</w:t>
            </w:r>
            <w:r>
              <w:rPr>
                <w:rFonts w:hint="eastAsia" w:ascii="宋体" w:hAnsi="宋体" w:eastAsia="宋体" w:cs="宋体"/>
                <w:kern w:val="0"/>
                <w:sz w:val="20"/>
                <w:szCs w:val="20"/>
                <w:lang w:val="en-US" w:eastAsia="zh-CN"/>
              </w:rPr>
              <w:t>:yyyy-MM-dd</w:t>
            </w:r>
            <w:r>
              <w:rPr>
                <w:rFonts w:hint="eastAsia" w:ascii="宋体" w:hAnsi="宋体" w:eastAsia="宋体" w:cs="宋体"/>
                <w:kern w:val="0"/>
                <w:sz w:val="20"/>
                <w:szCs w:val="20"/>
              </w:rPr>
              <w:t>}}</w:t>
            </w:r>
          </w:p>
        </w:tc>
        <w:tc>
          <w:tcPr>
            <w:tcW w:w="35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{{.到期日</w:t>
            </w:r>
            <w:r>
              <w:rPr>
                <w:rFonts w:hint="eastAsia" w:ascii="宋体" w:hAnsi="宋体" w:eastAsia="宋体" w:cs="宋体"/>
                <w:kern w:val="0"/>
                <w:sz w:val="20"/>
                <w:szCs w:val="20"/>
                <w:lang w:val="en-US" w:eastAsia="zh-CN"/>
              </w:rPr>
              <w:t>:yyyy-MM-dd</w:t>
            </w:r>
            <w:r>
              <w:rPr>
                <w:rFonts w:hint="eastAsia" w:ascii="宋体" w:hAnsi="宋体" w:eastAsia="宋体" w:cs="宋体"/>
                <w:kern w:val="0"/>
                <w:sz w:val="20"/>
                <w:szCs w:val="20"/>
              </w:rPr>
              <w:t>}}</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{{.标的期初价格</w:t>
            </w:r>
            <w:r>
              <w:rPr>
                <w:rFonts w:hint="eastAsia" w:ascii="宋体" w:hAnsi="宋体" w:eastAsia="宋体" w:cs="宋体"/>
                <w:kern w:val="0"/>
                <w:sz w:val="20"/>
                <w:szCs w:val="20"/>
                <w:lang w:val="en-US" w:eastAsia="zh-CN"/>
              </w:rPr>
              <w:t>:0.00</w:t>
            </w:r>
            <w:r>
              <w:rPr>
                <w:rFonts w:hint="eastAsia" w:ascii="宋体" w:hAnsi="宋体" w:eastAsia="宋体" w:cs="宋体"/>
                <w:kern w:val="0"/>
                <w:sz w:val="20"/>
                <w:szCs w:val="20"/>
              </w:rPr>
              <w:t>}}</w:t>
            </w:r>
          </w:p>
        </w:tc>
        <w:tc>
          <w:tcPr>
            <w:tcW w:w="35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{{.执行价}}</w:t>
            </w:r>
          </w:p>
        </w:tc>
        <w:tc>
          <w:tcPr>
            <w:tcW w:w="35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{{.标的数量}}</w:t>
            </w:r>
          </w:p>
        </w:tc>
        <w:tc>
          <w:tcPr>
            <w:tcW w:w="35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{{.单位}}</w:t>
            </w:r>
          </w:p>
        </w:tc>
        <w:tc>
          <w:tcPr>
            <w:tcW w:w="36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{{.名义本金额}}</w:t>
            </w:r>
          </w:p>
        </w:tc>
        <w:tc>
          <w:tcPr>
            <w:tcW w:w="435"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20"/>
                <w:szCs w:val="20"/>
              </w:rPr>
            </w:pPr>
            <w:r>
              <w:rPr>
                <w:rFonts w:hint="eastAsia" w:ascii="宋体" w:hAnsi="宋体" w:eastAsia="宋体" w:cs="宋体"/>
                <w:kern w:val="0"/>
                <w:sz w:val="20"/>
                <w:szCs w:val="20"/>
              </w:rPr>
              <w:t>{{.权利金支付方}}</w:t>
            </w:r>
          </w:p>
        </w:tc>
        <w:tc>
          <w:tcPr>
            <w:tcW w:w="35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{{.期权单价}}</w:t>
            </w:r>
          </w:p>
        </w:tc>
        <w:tc>
          <w:tcPr>
            <w:tcW w:w="3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{{.期权总价}}</w:t>
            </w:r>
          </w:p>
        </w:tc>
      </w:tr>
      <w:tr>
        <w:trPr>
          <w:jc w:val="center"/>
        </w:trPr>
        <w:tc>
          <w:tcPr>
            <w:tcW w:w="5000" w:type="pct"/>
            <w:gridSpan w:val="13"/>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{{/loop table1}}</w:t>
            </w:r>
          </w:p>
        </w:tc>
      </w:tr>
    </w:tbl>
    <w:p>
      <w:pPr>
        <w:spacing w:before="62" w:beforeLines="20" w:after="62" w:afterLines="20"/>
        <w:ind w:firstLine="448"/>
        <w:rPr>
          <w:rFonts w:ascii="宋体" w:hAnsi="宋体" w:eastAsia="宋体" w:cs="宋体"/>
          <w:color w:val="000000"/>
          <w:szCs w:val="21"/>
        </w:rPr>
      </w:pPr>
      <w:r>
        <w:rPr>
          <w:rFonts w:hint="eastAsia" w:ascii="宋体" w:hAnsi="宋体" w:eastAsia="宋体" w:cs="宋体"/>
          <w:color w:val="000000"/>
          <w:szCs w:val="21"/>
        </w:rPr>
        <w:t>交易与结算的币种单位为元人民币。</w:t>
      </w:r>
    </w:p>
    <w:p>
      <w:pPr>
        <w:spacing w:before="62" w:beforeLines="20" w:after="62" w:afterLines="20"/>
        <w:ind w:firstLine="448"/>
        <w:rPr>
          <w:rFonts w:ascii="宋体" w:hAnsi="宋体" w:eastAsia="宋体" w:cs="宋体"/>
          <w:color w:val="000000"/>
          <w:szCs w:val="21"/>
        </w:rPr>
      </w:pPr>
      <w:r>
        <w:rPr>
          <w:rFonts w:hint="eastAsia" w:ascii="宋体" w:hAnsi="宋体" w:eastAsia="宋体" w:cs="宋体"/>
          <w:color w:val="000000"/>
          <w:szCs w:val="21"/>
        </w:rPr>
        <w:t>到期日如遇非营业日，顺延至下一营业日，营业日或工作日以标的所在交易所交易日为准。</w:t>
      </w:r>
    </w:p>
    <w:p>
      <w:pPr>
        <w:spacing w:before="62" w:beforeLines="20" w:after="62" w:afterLines="20"/>
        <w:ind w:firstLine="448"/>
        <w:rPr>
          <w:rFonts w:ascii="宋体" w:hAnsi="宋体" w:eastAsia="宋体" w:cs="宋体"/>
          <w:color w:val="000000"/>
          <w:szCs w:val="21"/>
        </w:rPr>
      </w:pPr>
    </w:p>
    <w:p>
      <w:pPr>
        <w:pStyle w:val="11"/>
        <w:rPr>
          <w:rFonts w:ascii="宋体" w:hAnsi="宋体" w:eastAsia="宋体" w:cs="宋体"/>
          <w:b/>
          <w:color w:val="000000"/>
          <w:szCs w:val="21"/>
        </w:rPr>
      </w:pPr>
      <w:r>
        <w:rPr>
          <w:rFonts w:hint="eastAsia" w:ascii="宋体" w:hAnsi="宋体" w:eastAsia="宋体" w:cs="宋体"/>
          <w:b/>
          <w:color w:val="000000"/>
          <w:szCs w:val="21"/>
          <w:shd w:val="pct10" w:color="auto" w:fill="FFFFFF"/>
        </w:rPr>
        <w:t xml:space="preserve">履约保障条款：                                                                                                                                       </w:t>
      </w:r>
      <w:r>
        <w:rPr>
          <w:rFonts w:hint="eastAsia" w:ascii="宋体" w:hAnsi="宋体" w:eastAsia="宋体" w:cs="宋体"/>
          <w:b/>
          <w:color w:val="000000"/>
          <w:szCs w:val="21"/>
        </w:rPr>
        <w:t xml:space="preserve">                                                                                                                                 </w:t>
      </w:r>
    </w:p>
    <w:p>
      <w:pPr>
        <w:pStyle w:val="11"/>
        <w:rPr>
          <w:rFonts w:ascii="宋体" w:hAnsi="宋体" w:eastAsia="宋体" w:cs="宋体"/>
          <w:color w:val="000000"/>
          <w:szCs w:val="21"/>
        </w:rPr>
      </w:pPr>
      <w:r>
        <w:rPr>
          <w:rFonts w:hint="eastAsia" w:ascii="宋体" w:hAnsi="宋体" w:eastAsia="宋体" w:cs="宋体"/>
          <w:color w:val="000000"/>
          <w:szCs w:val="21"/>
        </w:rPr>
        <w:t>如乙方向甲方卖出期权，履约保障品的价值与规则如下：</w:t>
      </w:r>
    </w:p>
    <w:p>
      <w:pPr>
        <w:pStyle w:val="11"/>
        <w:numPr>
          <w:ilvl w:val="0"/>
          <w:numId w:val="1"/>
        </w:numPr>
        <w:rPr>
          <w:rFonts w:ascii="宋体" w:hAnsi="宋体" w:eastAsia="宋体" w:cs="宋体"/>
          <w:color w:val="000000"/>
          <w:szCs w:val="21"/>
        </w:rPr>
      </w:pPr>
      <w:r>
        <w:rPr>
          <w:rFonts w:hint="eastAsia" w:ascii="宋体" w:hAnsi="宋体" w:eastAsia="宋体" w:cs="宋体"/>
          <w:color w:val="000000"/>
          <w:szCs w:val="21"/>
        </w:rPr>
        <w:t>履约保障品提供：承做交易前，乙方需向甲方提供履约保障品，并确保履约保障品价值不少于初始履约保障品价值。</w:t>
      </w:r>
    </w:p>
    <w:p>
      <w:pPr>
        <w:pStyle w:val="11"/>
        <w:numPr>
          <w:ilvl w:val="0"/>
          <w:numId w:val="1"/>
        </w:numPr>
        <w:rPr>
          <w:rFonts w:ascii="宋体" w:hAnsi="宋体" w:eastAsia="宋体" w:cs="宋体"/>
          <w:color w:val="000000"/>
          <w:szCs w:val="21"/>
        </w:rPr>
      </w:pPr>
      <w:r>
        <w:rPr>
          <w:rFonts w:hint="eastAsia" w:ascii="宋体" w:hAnsi="宋体" w:eastAsia="宋体" w:cs="宋体"/>
          <w:color w:val="000000"/>
          <w:szCs w:val="21"/>
        </w:rPr>
        <w:t>履约保障品追加：当履约保障品价值低于维持履约保障品价值时，乙方需追加履约保障品，使得履约保障品价值不低于维持履约保障品价值。</w:t>
      </w:r>
    </w:p>
    <w:p>
      <w:pPr>
        <w:pStyle w:val="11"/>
        <w:numPr>
          <w:ilvl w:val="0"/>
          <w:numId w:val="1"/>
        </w:numPr>
        <w:rPr>
          <w:rFonts w:ascii="宋体" w:hAnsi="宋体" w:eastAsia="宋体" w:cs="宋体"/>
          <w:color w:val="000000"/>
          <w:szCs w:val="21"/>
        </w:rPr>
      </w:pPr>
      <w:r>
        <w:rPr>
          <w:rFonts w:hint="eastAsia" w:ascii="宋体" w:hAnsi="宋体" w:eastAsia="宋体" w:cs="宋体"/>
          <w:color w:val="000000"/>
          <w:szCs w:val="21"/>
        </w:rPr>
        <w:t>履约保障品提取：当履约保障品价值高于初始履约保障品价值时，乙方可提取履约保障品价值高于初始履约保障品价值的部分。</w:t>
      </w:r>
    </w:p>
    <w:p>
      <w:pPr>
        <w:pStyle w:val="11"/>
        <w:numPr>
          <w:ilvl w:val="0"/>
          <w:numId w:val="1"/>
        </w:numPr>
        <w:rPr>
          <w:rFonts w:ascii="宋体" w:hAnsi="宋体" w:eastAsia="宋体" w:cs="宋体"/>
          <w:color w:val="000000"/>
          <w:szCs w:val="21"/>
        </w:rPr>
      </w:pPr>
      <w:r>
        <w:rPr>
          <w:rFonts w:hint="eastAsia" w:ascii="宋体" w:hAnsi="宋体" w:eastAsia="宋体" w:cs="宋体"/>
          <w:color w:val="000000"/>
          <w:szCs w:val="21"/>
        </w:rPr>
        <w:t>初始履约保障品及维持履约保障品的价值依照甲乙双方签署的《履约保障协议》计算。</w:t>
      </w:r>
    </w:p>
    <w:p>
      <w:pPr>
        <w:pStyle w:val="11"/>
        <w:rPr>
          <w:rFonts w:ascii="宋体" w:hAnsi="宋体" w:eastAsia="宋体" w:cs="宋体"/>
          <w:sz w:val="18"/>
        </w:rPr>
      </w:pPr>
    </w:p>
    <w:p>
      <w:pPr>
        <w:pStyle w:val="11"/>
        <w:rPr>
          <w:rFonts w:ascii="宋体" w:hAnsi="宋体" w:eastAsia="宋体" w:cs="宋体"/>
          <w:b/>
          <w:color w:val="000000"/>
          <w:szCs w:val="21"/>
          <w:shd w:val="pct10" w:color="auto" w:fill="FFFFFF"/>
        </w:rPr>
      </w:pPr>
      <w:bookmarkStart w:id="0" w:name="_Hlk29210355"/>
      <w:r>
        <w:rPr>
          <w:rFonts w:hint="eastAsia" w:ascii="宋体" w:hAnsi="宋体" w:eastAsia="宋体" w:cs="宋体"/>
          <w:b/>
          <w:color w:val="000000"/>
          <w:szCs w:val="21"/>
          <w:shd w:val="pct10" w:color="auto" w:fill="FFFFFF"/>
        </w:rPr>
        <w:t>声明：</w:t>
      </w:r>
      <w:bookmarkEnd w:id="0"/>
      <w:r>
        <w:rPr>
          <w:rFonts w:hint="eastAsia" w:ascii="宋体" w:hAnsi="宋体" w:eastAsia="宋体" w:cs="宋体"/>
          <w:b/>
          <w:color w:val="000000"/>
          <w:szCs w:val="21"/>
          <w:shd w:val="pct10" w:color="auto" w:fill="FFFFFF"/>
        </w:rPr>
        <w:t xml:space="preserve">                                                                                                                                               </w:t>
      </w:r>
    </w:p>
    <w:p>
      <w:pPr>
        <w:pStyle w:val="11"/>
        <w:numPr>
          <w:ilvl w:val="0"/>
          <w:numId w:val="2"/>
        </w:numPr>
        <w:rPr>
          <w:rFonts w:ascii="宋体" w:hAnsi="宋体" w:eastAsia="宋体" w:cs="宋体"/>
          <w:color w:val="000000"/>
          <w:szCs w:val="21"/>
        </w:rPr>
      </w:pPr>
      <w:r>
        <w:rPr>
          <w:rFonts w:hint="eastAsia" w:ascii="宋体" w:hAnsi="宋体" w:eastAsia="宋体" w:cs="宋体"/>
          <w:color w:val="000000"/>
          <w:szCs w:val="21"/>
        </w:rPr>
        <w:t>甲方不对乙方的实际交易意图及行为后果承担任何法律责任。</w:t>
      </w:r>
    </w:p>
    <w:p>
      <w:pPr>
        <w:pStyle w:val="11"/>
        <w:numPr>
          <w:ilvl w:val="0"/>
          <w:numId w:val="2"/>
        </w:numPr>
        <w:rPr>
          <w:rFonts w:ascii="宋体" w:hAnsi="宋体" w:eastAsia="宋体" w:cs="宋体"/>
          <w:color w:val="000000"/>
          <w:szCs w:val="21"/>
        </w:rPr>
      </w:pPr>
      <w:r>
        <w:rPr>
          <w:rFonts w:hint="eastAsia" w:ascii="宋体" w:hAnsi="宋体" w:eastAsia="宋体" w:cs="宋体"/>
          <w:color w:val="000000"/>
          <w:szCs w:val="21"/>
        </w:rPr>
        <w:t>若乙方认为本确认书所记载的内容与所达成交易不符，应当立即通知甲方，并在乙方收到本确认书后一个营业日内向甲方书面提出异议，同时说明理由，若甲方在上述期限内未收到乙方的书面异议，则视同贵司接受本确认书所记载的全部内容。</w:t>
      </w:r>
    </w:p>
    <w:p>
      <w:pPr>
        <w:pStyle w:val="11"/>
        <w:numPr>
          <w:ilvl w:val="0"/>
          <w:numId w:val="2"/>
        </w:numPr>
        <w:rPr>
          <w:rFonts w:ascii="宋体" w:hAnsi="宋体" w:eastAsia="宋体" w:cs="宋体"/>
          <w:color w:val="000000"/>
          <w:szCs w:val="21"/>
        </w:rPr>
      </w:pPr>
      <w:r>
        <w:rPr>
          <w:rFonts w:hint="eastAsia" w:ascii="宋体" w:hAnsi="宋体" w:eastAsia="宋体" w:cs="宋体"/>
          <w:color w:val="000000"/>
          <w:szCs w:val="21"/>
        </w:rPr>
        <w:t>交易双方同意，本确认书所述条款构成了交易双方之间就本确认书项下交易的完整条款，且对交易双方具有法律约束力。</w:t>
      </w:r>
      <w:bookmarkStart w:id="1" w:name="_Hlk29213453"/>
    </w:p>
    <w:p>
      <w:pPr>
        <w:pStyle w:val="11"/>
        <w:numPr>
          <w:ilvl w:val="0"/>
          <w:numId w:val="2"/>
        </w:numPr>
        <w:rPr>
          <w:rFonts w:ascii="宋体" w:hAnsi="宋体" w:eastAsia="宋体" w:cs="宋体"/>
          <w:color w:val="000000"/>
          <w:szCs w:val="21"/>
        </w:rPr>
      </w:pPr>
      <w:r>
        <w:rPr>
          <w:rFonts w:hint="eastAsia" w:ascii="宋体" w:hAnsi="宋体" w:eastAsia="宋体" w:cs="宋体"/>
          <w:color w:val="000000"/>
          <w:szCs w:val="21"/>
        </w:rPr>
        <w:t>乙方确认,乙方已知晓本确认书项下交易的各种风险因素(包括但不限于信用风险、市场风险、流动性风险、操作风险、法律风险等)。经自主和独立判断，乙方已经完全理解该笔交易的条款和各种隐含风险，明确办理此笔交易对乙方的法律、税务和财务会计影响，并对此具有足够的承受能力。乙方确保在完全自愿的基础上从事此项交易，并确认办理此笔交易符合乙方的交易目的。</w:t>
      </w:r>
      <w:bookmarkEnd w:id="1"/>
    </w:p>
    <w:p>
      <w:pPr>
        <w:pStyle w:val="11"/>
        <w:spacing w:line="240" w:lineRule="exact"/>
        <w:rPr>
          <w:rFonts w:ascii="宋体" w:hAnsi="宋体" w:eastAsia="宋体" w:cs="宋体"/>
          <w:sz w:val="18"/>
        </w:rPr>
      </w:pPr>
    </w:p>
    <w:p>
      <w:pPr>
        <w:pStyle w:val="11"/>
        <w:rPr>
          <w:rFonts w:ascii="宋体" w:hAnsi="宋体" w:eastAsia="宋体" w:cs="宋体"/>
          <w:sz w:val="20"/>
        </w:rPr>
      </w:pPr>
    </w:p>
    <w:p>
      <w:pPr>
        <w:pStyle w:val="11"/>
        <w:ind w:firstLine="420" w:firstLineChars="200"/>
        <w:rPr>
          <w:rFonts w:ascii="宋体" w:hAnsi="宋体" w:eastAsia="宋体" w:cs="宋体"/>
          <w:szCs w:val="21"/>
        </w:rPr>
      </w:pPr>
      <w:r>
        <w:rPr>
          <w:rFonts w:hint="eastAsia" w:ascii="宋体" w:hAnsi="宋体" w:eastAsia="宋体" w:cs="宋体"/>
          <w:szCs w:val="21"/>
        </w:rPr>
        <w:t xml:space="preserve">甲方（公章）：上海伴兴实业发展有限公司                                                            乙方（公章）： </w:t>
      </w:r>
      <w:r>
        <w:rPr>
          <w:rFonts w:ascii="宋体" w:hAnsi="宋体" w:eastAsia="宋体" w:cs="宋体"/>
          <w:szCs w:val="21"/>
        </w:rPr>
        <w:t>{{</w:t>
      </w:r>
      <w:bookmarkStart w:id="2" w:name="_GoBack"/>
      <w:bookmarkEnd w:id="2"/>
      <w:r>
        <w:rPr>
          <w:rFonts w:ascii="宋体" w:hAnsi="宋体" w:eastAsia="宋体" w:cs="宋体"/>
          <w:szCs w:val="21"/>
        </w:rPr>
        <w:t>ClientName}}</w:t>
      </w:r>
    </w:p>
    <w:p>
      <w:pPr>
        <w:pStyle w:val="11"/>
        <w:rPr>
          <w:rFonts w:ascii="宋体" w:hAnsi="宋体" w:eastAsia="宋体" w:cs="宋体"/>
          <w:szCs w:val="21"/>
        </w:rPr>
      </w:pPr>
    </w:p>
    <w:p>
      <w:pPr>
        <w:pStyle w:val="11"/>
        <w:ind w:firstLine="420" w:firstLineChars="200"/>
        <w:rPr>
          <w:rFonts w:ascii="宋体" w:hAnsi="宋体" w:eastAsia="宋体" w:cs="宋体"/>
          <w:szCs w:val="21"/>
        </w:rPr>
      </w:pPr>
      <w:r>
        <w:rPr>
          <w:rFonts w:hint="eastAsia" w:ascii="宋体" w:hAnsi="宋体" w:eastAsia="宋体" w:cs="宋体"/>
          <w:szCs w:val="21"/>
        </w:rPr>
        <w:t>日期：                                                                                           日期：</w:t>
      </w:r>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454" w:right="680" w:bottom="567" w:left="624" w:header="431" w:footer="57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FKai-SB">
    <w:altName w:val="Microsoft JhengHei Light"/>
    <w:panose1 w:val="03000509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left" w:pos="8371"/>
        <w:tab w:val="clear" w:pos="4153"/>
      </w:tabs>
      <w:jc w:val="left"/>
      <w:rPr>
        <w:color w:val="404040"/>
      </w:rPr>
    </w:pPr>
    <w:r>
      <w:rPr>
        <w:rFonts w:hint="eastAsia"/>
        <w:b/>
        <w:color w:val="404040"/>
      </w:rPr>
      <w:t>上海伴兴实业发展有限公司</w:t>
    </w:r>
    <w:r>
      <w:rPr>
        <w:color w:val="404040"/>
      </w:rPr>
      <w:tab/>
    </w:r>
    <w:r>
      <w:rPr>
        <w:color w:val="404040"/>
      </w:rPr>
      <w:t xml:space="preserve">                                               </w:t>
    </w:r>
    <w:r>
      <w:rPr>
        <w:color w:val="404040"/>
      </w:rPr>
      <w:tab/>
    </w:r>
    <w:r>
      <w:rPr>
        <w:rFonts w:hint="eastAsia"/>
        <w:color w:val="404040"/>
      </w:rPr>
      <w:t>编号：</w:t>
    </w:r>
    <w:r>
      <w:rPr>
        <w:color w:val="404040"/>
      </w:rPr>
      <w:t>{{model.Code}}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A2AED5"/>
    <w:multiLevelType w:val="multilevel"/>
    <w:tmpl w:val="18A2AED5"/>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59578D"/>
    <w:multiLevelType w:val="multilevel"/>
    <w:tmpl w:val="5259578D"/>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233"/>
    <w:rsid w:val="00002C1D"/>
    <w:rsid w:val="00026A20"/>
    <w:rsid w:val="00050BAE"/>
    <w:rsid w:val="00061EBF"/>
    <w:rsid w:val="0008498F"/>
    <w:rsid w:val="000D4140"/>
    <w:rsid w:val="00174B0A"/>
    <w:rsid w:val="00176956"/>
    <w:rsid w:val="001D7C18"/>
    <w:rsid w:val="00242421"/>
    <w:rsid w:val="002568CB"/>
    <w:rsid w:val="002A46EA"/>
    <w:rsid w:val="003376E6"/>
    <w:rsid w:val="00345BA6"/>
    <w:rsid w:val="003D1EF2"/>
    <w:rsid w:val="003E726D"/>
    <w:rsid w:val="003E7CEA"/>
    <w:rsid w:val="003F4560"/>
    <w:rsid w:val="004B2E6E"/>
    <w:rsid w:val="004F3C8A"/>
    <w:rsid w:val="005067F7"/>
    <w:rsid w:val="0051545D"/>
    <w:rsid w:val="005271A2"/>
    <w:rsid w:val="005C6062"/>
    <w:rsid w:val="005D0597"/>
    <w:rsid w:val="006001B6"/>
    <w:rsid w:val="006560B2"/>
    <w:rsid w:val="006717FF"/>
    <w:rsid w:val="006C4E1C"/>
    <w:rsid w:val="006F4F6B"/>
    <w:rsid w:val="007531F5"/>
    <w:rsid w:val="00772DAA"/>
    <w:rsid w:val="007A6C8F"/>
    <w:rsid w:val="00831797"/>
    <w:rsid w:val="008C1838"/>
    <w:rsid w:val="009266F3"/>
    <w:rsid w:val="009C3900"/>
    <w:rsid w:val="00A37C4C"/>
    <w:rsid w:val="00A44A3A"/>
    <w:rsid w:val="00A723EC"/>
    <w:rsid w:val="00AE2E25"/>
    <w:rsid w:val="00B71DBC"/>
    <w:rsid w:val="00BA4C37"/>
    <w:rsid w:val="00BD2E09"/>
    <w:rsid w:val="00C12C47"/>
    <w:rsid w:val="00C13F76"/>
    <w:rsid w:val="00C344B6"/>
    <w:rsid w:val="00C465A3"/>
    <w:rsid w:val="00C513F2"/>
    <w:rsid w:val="00C51DEB"/>
    <w:rsid w:val="00D6477A"/>
    <w:rsid w:val="00DA7233"/>
    <w:rsid w:val="00E60367"/>
    <w:rsid w:val="00E84BF5"/>
    <w:rsid w:val="00EF7D8B"/>
    <w:rsid w:val="00F2115D"/>
    <w:rsid w:val="00F318DB"/>
    <w:rsid w:val="00F57BB7"/>
    <w:rsid w:val="035E4919"/>
    <w:rsid w:val="0B36251A"/>
    <w:rsid w:val="0D0E334A"/>
    <w:rsid w:val="0FB51D65"/>
    <w:rsid w:val="109D6377"/>
    <w:rsid w:val="14266416"/>
    <w:rsid w:val="252B4155"/>
    <w:rsid w:val="39326832"/>
    <w:rsid w:val="3B152F92"/>
    <w:rsid w:val="593212FE"/>
    <w:rsid w:val="5C8A7A09"/>
    <w:rsid w:val="629B6165"/>
    <w:rsid w:val="6A0D1F27"/>
    <w:rsid w:val="6AE27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Normal Indent"/>
    <w:basedOn w:val="1"/>
    <w:semiHidden/>
    <w:qFormat/>
    <w:uiPriority w:val="0"/>
    <w:pPr>
      <w:adjustRightInd w:val="0"/>
      <w:spacing w:before="120" w:after="120" w:line="360" w:lineRule="atLeast"/>
      <w:ind w:left="7145" w:hanging="624"/>
      <w:textAlignment w:val="baseline"/>
    </w:pPr>
    <w:rPr>
      <w:rFonts w:eastAsia="DFKai-SB"/>
      <w:color w:val="000080"/>
      <w:kern w:val="16"/>
      <w:sz w:val="26"/>
      <w:szCs w:val="20"/>
      <w:lang w:eastAsia="zh-TW"/>
    </w:rPr>
  </w:style>
  <w:style w:type="paragraph" w:styleId="3">
    <w:name w:val="annotation text"/>
    <w:basedOn w:val="1"/>
    <w:link w:val="16"/>
    <w:semiHidden/>
    <w:unhideWhenUsed/>
    <w:qFormat/>
    <w:uiPriority w:val="99"/>
    <w:pPr>
      <w:jc w:val="left"/>
    </w:pPr>
  </w:style>
  <w:style w:type="paragraph" w:styleId="4">
    <w:name w:val="Balloon Text"/>
    <w:basedOn w:val="1"/>
    <w:link w:val="15"/>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7"/>
    <w:semiHidden/>
    <w:unhideWhenUsed/>
    <w:uiPriority w:val="99"/>
    <w:rPr>
      <w:b/>
      <w:bCs/>
    </w:rPr>
  </w:style>
  <w:style w:type="character" w:styleId="10">
    <w:name w:val="annotation reference"/>
    <w:basedOn w:val="9"/>
    <w:semiHidden/>
    <w:unhideWhenUsed/>
    <w:qFormat/>
    <w:uiPriority w:val="99"/>
    <w:rPr>
      <w:sz w:val="21"/>
      <w:szCs w:val="21"/>
    </w:rPr>
  </w:style>
  <w:style w:type="paragraph" w:styleId="11">
    <w:name w:val="No Spacing"/>
    <w:qFormat/>
    <w:uiPriority w:val="1"/>
    <w:pPr>
      <w:widowControl w:val="0"/>
      <w:jc w:val="both"/>
    </w:pPr>
    <w:rPr>
      <w:rFonts w:ascii="Times New Roman" w:hAnsi="Times New Roman" w:cs="Times New Roman" w:eastAsiaTheme="minorEastAsia"/>
      <w:kern w:val="2"/>
      <w:sz w:val="21"/>
      <w:szCs w:val="24"/>
      <w:lang w:val="en-US" w:eastAsia="zh-CN" w:bidi="ar-SA"/>
    </w:rPr>
  </w:style>
  <w:style w:type="character" w:customStyle="1" w:styleId="12">
    <w:name w:val="页眉 Char"/>
    <w:basedOn w:val="9"/>
    <w:link w:val="6"/>
    <w:qFormat/>
    <w:uiPriority w:val="99"/>
    <w:rPr>
      <w:rFonts w:ascii="Times New Roman" w:hAnsi="Times New Roman" w:cs="Times New Roman"/>
      <w:sz w:val="18"/>
      <w:szCs w:val="18"/>
    </w:rPr>
  </w:style>
  <w:style w:type="character" w:customStyle="1" w:styleId="13">
    <w:name w:val="页脚 Char"/>
    <w:basedOn w:val="9"/>
    <w:link w:val="5"/>
    <w:qFormat/>
    <w:uiPriority w:val="99"/>
    <w:rPr>
      <w:rFonts w:ascii="Times New Roman" w:hAnsi="Times New Roman" w:cs="Times New Roman"/>
      <w:sz w:val="18"/>
      <w:szCs w:val="18"/>
    </w:rPr>
  </w:style>
  <w:style w:type="paragraph" w:customStyle="1" w:styleId="14">
    <w:name w:val="列出段落2"/>
    <w:basedOn w:val="1"/>
    <w:qFormat/>
    <w:uiPriority w:val="34"/>
    <w:pPr>
      <w:ind w:firstLine="420" w:firstLineChars="200"/>
    </w:pPr>
    <w:rPr>
      <w:rFonts w:eastAsia="宋体"/>
      <w:szCs w:val="20"/>
    </w:rPr>
  </w:style>
  <w:style w:type="character" w:customStyle="1" w:styleId="15">
    <w:name w:val="批注框文本 Char"/>
    <w:basedOn w:val="9"/>
    <w:link w:val="4"/>
    <w:semiHidden/>
    <w:qFormat/>
    <w:uiPriority w:val="99"/>
    <w:rPr>
      <w:rFonts w:eastAsiaTheme="minorEastAsia"/>
      <w:kern w:val="2"/>
      <w:sz w:val="18"/>
      <w:szCs w:val="18"/>
    </w:rPr>
  </w:style>
  <w:style w:type="character" w:customStyle="1" w:styleId="16">
    <w:name w:val="批注文字 Char"/>
    <w:basedOn w:val="9"/>
    <w:link w:val="3"/>
    <w:semiHidden/>
    <w:uiPriority w:val="99"/>
    <w:rPr>
      <w:rFonts w:eastAsiaTheme="minorEastAsia"/>
      <w:kern w:val="2"/>
      <w:sz w:val="21"/>
      <w:szCs w:val="24"/>
    </w:rPr>
  </w:style>
  <w:style w:type="character" w:customStyle="1" w:styleId="17">
    <w:name w:val="批注主题 Char"/>
    <w:basedOn w:val="16"/>
    <w:link w:val="7"/>
    <w:semiHidden/>
    <w:qFormat/>
    <w:uiPriority w:val="99"/>
    <w:rPr>
      <w:rFonts w:eastAsiaTheme="minorEastAsia"/>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275</Words>
  <Characters>1569</Characters>
  <Lines>13</Lines>
  <Paragraphs>3</Paragraphs>
  <TotalTime>10</TotalTime>
  <ScaleCrop>false</ScaleCrop>
  <LinksUpToDate>false</LinksUpToDate>
  <CharactersWithSpaces>1841</CharactersWithSpaces>
  <Application>WPS Office_11.1.0.11622_F1E327BC-269C-435d-A152-05C5408002CA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2020-01-16T05:51:00Z</dcterms:created>
  <dc:creator>LYD</dc:creator>
  <cp:lastModifiedBy>LiuFJ</cp:lastModifiedBy>
  <dcterms:modified xsi:type="dcterms:W3CDTF">2022-04-25T13:00:05Z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2052-11.1.0.11622</vt:lpwstr>
  </property>
  <property fmtid="{D5CDD505-2E9C-101B-9397-08002B2CF9AE}" pid="3" name="ICV">
    <vt:lpwstr>40A8502266294D2DA2653EB93790912A</vt:lpwstr>
  </property>
</Properties>
</file>