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6B2CC" w14:textId="77777777" w:rsidR="00FE777E" w:rsidRDefault="00627A08">
      <w:pPr>
        <w:spacing w:beforeLines="50" w:before="120" w:afterLines="50" w:after="120" w:line="240" w:lineRule="auto"/>
        <w:jc w:val="center"/>
        <w:outlineLvl w:val="0"/>
        <w:rPr>
          <w:rFonts w:ascii="楷体" w:eastAsia="楷体" w:hAnsi="楷体" w:cs="楷体"/>
          <w:b/>
          <w:bCs/>
          <w:sz w:val="40"/>
          <w:szCs w:val="44"/>
        </w:rPr>
      </w:pPr>
      <w:r>
        <w:rPr>
          <w:rFonts w:ascii="楷体" w:eastAsia="楷体" w:hAnsi="楷体" w:cs="楷体" w:hint="eastAsia"/>
          <w:b/>
          <w:bCs/>
          <w:sz w:val="40"/>
          <w:szCs w:val="44"/>
        </w:rPr>
        <w:t>国联民生证券股份有限公司</w:t>
      </w:r>
    </w:p>
    <w:p w14:paraId="7666259B" w14:textId="77777777" w:rsidR="00FE777E" w:rsidRDefault="00627A08">
      <w:pPr>
        <w:spacing w:beforeLines="50" w:before="120" w:afterLines="50" w:after="120" w:line="240" w:lineRule="auto"/>
        <w:jc w:val="center"/>
        <w:outlineLvl w:val="0"/>
        <w:rPr>
          <w:rFonts w:ascii="楷体" w:eastAsia="楷体" w:hAnsi="楷体" w:cs="楷体"/>
          <w:b/>
          <w:bCs/>
          <w:sz w:val="40"/>
          <w:szCs w:val="44"/>
        </w:rPr>
      </w:pPr>
      <w:r>
        <w:rPr>
          <w:rFonts w:ascii="楷体" w:eastAsia="楷体" w:hAnsi="楷体" w:cs="楷体" w:hint="eastAsia"/>
          <w:b/>
          <w:bCs/>
          <w:sz w:val="40"/>
          <w:szCs w:val="44"/>
        </w:rPr>
        <w:t>场外衍生品交易确认书</w:t>
      </w:r>
    </w:p>
    <w:p w14:paraId="47BDA1EC" w14:textId="77777777" w:rsidR="00FE777E" w:rsidRDefault="00627A08">
      <w:pPr>
        <w:spacing w:beforeLines="50" w:before="120" w:afterLines="50" w:after="120" w:line="240" w:lineRule="auto"/>
        <w:jc w:val="right"/>
        <w:rPr>
          <w:rFonts w:ascii="楷体" w:eastAsia="楷体" w:hAnsi="楷体" w:cs="楷体"/>
          <w:sz w:val="24"/>
          <w:szCs w:val="24"/>
        </w:rPr>
      </w:pPr>
      <w:r>
        <w:rPr>
          <w:rFonts w:ascii="楷体" w:eastAsia="楷体" w:hAnsi="楷体" w:cs="楷体" w:hint="eastAsia"/>
          <w:sz w:val="24"/>
          <w:szCs w:val="24"/>
        </w:rPr>
        <w:t>编号：{{合同编号}}</w:t>
      </w:r>
    </w:p>
    <w:p w14:paraId="50F9A2E4" w14:textId="77777777" w:rsidR="00FE777E" w:rsidRDefault="00627A08">
      <w:pPr>
        <w:spacing w:beforeLines="50" w:before="120" w:afterLines="50" w:after="120" w:line="240" w:lineRule="auto"/>
        <w:jc w:val="both"/>
        <w:rPr>
          <w:rFonts w:ascii="楷体" w:eastAsia="楷体" w:hAnsi="楷体" w:cs="楷体"/>
          <w:sz w:val="24"/>
          <w:szCs w:val="24"/>
        </w:rPr>
      </w:pPr>
      <w:r>
        <w:rPr>
          <w:rFonts w:ascii="楷体" w:eastAsia="楷体" w:hAnsi="楷体" w:cs="楷体" w:hint="eastAsia"/>
          <w:sz w:val="24"/>
          <w:szCs w:val="24"/>
        </w:rPr>
        <w:t>甲方：国联民生证券股份有限公司</w:t>
      </w:r>
    </w:p>
    <w:p w14:paraId="13EADB99" w14:textId="77777777" w:rsidR="00FE777E" w:rsidRDefault="00627A08">
      <w:pPr>
        <w:spacing w:beforeLines="50" w:before="120" w:afterLines="50" w:after="120" w:line="240" w:lineRule="auto"/>
        <w:jc w:val="both"/>
        <w:rPr>
          <w:rFonts w:ascii="楷体" w:eastAsia="楷体" w:hAnsi="楷体" w:cs="楷体"/>
          <w:sz w:val="24"/>
          <w:szCs w:val="24"/>
        </w:rPr>
      </w:pPr>
      <w:r>
        <w:rPr>
          <w:rFonts w:ascii="楷体" w:eastAsia="楷体" w:hAnsi="楷体" w:cs="楷体" w:hint="eastAsia"/>
          <w:sz w:val="24"/>
          <w:szCs w:val="24"/>
        </w:rPr>
        <w:t>乙方：{{客户名称}}</w:t>
      </w:r>
    </w:p>
    <w:p w14:paraId="33F73D19" w14:textId="77777777" w:rsidR="00FE777E" w:rsidRDefault="00627A08">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本交易确认书</w:t>
      </w:r>
      <w:r>
        <w:rPr>
          <w:rFonts w:ascii="楷体" w:eastAsia="楷体" w:hAnsi="楷体" w:cs="楷体" w:hint="eastAsia"/>
          <w:sz w:val="24"/>
          <w:szCs w:val="24"/>
        </w:rPr>
        <w:t>（本“</w:t>
      </w:r>
      <w:r>
        <w:rPr>
          <w:rFonts w:ascii="楷体" w:eastAsia="楷体" w:hAnsi="楷体" w:cs="楷体" w:hint="eastAsia"/>
          <w:b/>
          <w:sz w:val="24"/>
          <w:szCs w:val="24"/>
        </w:rPr>
        <w:t>确认书</w:t>
      </w:r>
      <w:r>
        <w:rPr>
          <w:rFonts w:ascii="楷体" w:eastAsia="楷体" w:hAnsi="楷体" w:cs="楷体" w:hint="eastAsia"/>
          <w:sz w:val="24"/>
          <w:szCs w:val="24"/>
        </w:rPr>
        <w:t>”）</w:t>
      </w:r>
      <w:r>
        <w:rPr>
          <w:rFonts w:ascii="楷体" w:eastAsia="楷体" w:hAnsi="楷体" w:cs="楷体" w:hint="eastAsia"/>
          <w:sz w:val="24"/>
        </w:rPr>
        <w:t>旨在确认甲、乙双方达成的收益互换交易（以下称“</w:t>
      </w:r>
      <w:r>
        <w:rPr>
          <w:rFonts w:ascii="楷体" w:eastAsia="楷体" w:hAnsi="楷体" w:cs="楷体" w:hint="eastAsia"/>
          <w:b/>
          <w:sz w:val="24"/>
        </w:rPr>
        <w:t>交易</w:t>
      </w:r>
      <w:r>
        <w:rPr>
          <w:rFonts w:ascii="楷体" w:eastAsia="楷体" w:hAnsi="楷体" w:cs="楷体" w:hint="eastAsia"/>
          <w:sz w:val="24"/>
        </w:rPr>
        <w:t>”、“</w:t>
      </w:r>
      <w:r>
        <w:rPr>
          <w:rFonts w:ascii="楷体" w:eastAsia="楷体" w:hAnsi="楷体" w:cs="楷体" w:hint="eastAsia"/>
          <w:b/>
          <w:sz w:val="24"/>
        </w:rPr>
        <w:t>本交易</w:t>
      </w:r>
      <w:r>
        <w:rPr>
          <w:rFonts w:ascii="楷体" w:eastAsia="楷体" w:hAnsi="楷体" w:cs="楷体" w:hint="eastAsia"/>
          <w:sz w:val="24"/>
        </w:rPr>
        <w:t>”、“</w:t>
      </w:r>
      <w:r>
        <w:rPr>
          <w:rFonts w:ascii="楷体" w:eastAsia="楷体" w:hAnsi="楷体" w:cs="楷体" w:hint="eastAsia"/>
          <w:b/>
          <w:bCs/>
          <w:sz w:val="24"/>
        </w:rPr>
        <w:t>收益互换合约</w:t>
      </w:r>
      <w:r>
        <w:rPr>
          <w:rFonts w:ascii="楷体" w:eastAsia="楷体" w:hAnsi="楷体" w:cs="楷体" w:hint="eastAsia"/>
          <w:sz w:val="24"/>
        </w:rPr>
        <w:t>”等）的条款和条件。本交易确认书构成“主协议、补充协议”下的一份“交易有效约定”，与“主协议、补充协议”共同构成甲、乙双方之间单一和完整的协议。</w:t>
      </w:r>
    </w:p>
    <w:p w14:paraId="2EEFAA9F" w14:textId="77777777" w:rsidR="00FE777E" w:rsidRDefault="00627A08">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前述“主协议、补充协议”是指甲、乙双方均已签署的【</w:t>
      </w:r>
      <w:r>
        <w:rPr>
          <w:rFonts w:ascii="Segoe UI Symbol" w:eastAsia="楷体" w:hAnsi="Segoe UI Symbol" w:cs="楷体"/>
          <w:bCs/>
          <w:sz w:val="28"/>
        </w:rPr>
        <w:t>{{</w:t>
      </w:r>
      <w:r>
        <w:rPr>
          <w:rFonts w:ascii="Segoe UI Symbol" w:eastAsia="楷体" w:hAnsi="Segoe UI Symbol" w:cs="楷体"/>
          <w:bCs/>
          <w:sz w:val="28"/>
        </w:rPr>
        <w:t>主协议</w:t>
      </w:r>
      <w:r>
        <w:rPr>
          <w:rFonts w:ascii="Segoe UI Symbol" w:eastAsia="楷体" w:hAnsi="Segoe UI Symbol" w:cs="楷体"/>
          <w:bCs/>
          <w:sz w:val="28"/>
        </w:rPr>
        <w:t>SAC</w:t>
      </w:r>
      <w:r>
        <w:rPr>
          <w:rFonts w:ascii="Segoe UI Symbol" w:eastAsia="楷体" w:hAnsi="Segoe UI Symbol" w:cs="楷体"/>
          <w:bCs/>
          <w:sz w:val="28"/>
        </w:rPr>
        <w:t>勾选</w:t>
      </w:r>
      <w:r>
        <w:rPr>
          <w:rFonts w:ascii="Segoe UI Symbol" w:eastAsia="楷体" w:hAnsi="Segoe UI Symbol" w:cs="楷体"/>
          <w:bCs/>
          <w:sz w:val="28"/>
        </w:rPr>
        <w:t>}}</w:t>
      </w:r>
      <w:r>
        <w:rPr>
          <w:rFonts w:ascii="楷体" w:eastAsia="楷体" w:hAnsi="楷体" w:cs="楷体" w:hint="eastAsia"/>
          <w:sz w:val="24"/>
        </w:rPr>
        <w:t>《中国证券期货市场衍生品交易主协议》/</w:t>
      </w:r>
      <w:r>
        <w:rPr>
          <w:rFonts w:ascii="Segoe UI Symbol" w:eastAsia="楷体" w:hAnsi="Segoe UI Symbol" w:cs="楷体"/>
          <w:bCs/>
          <w:sz w:val="28"/>
        </w:rPr>
        <w:t>{{</w:t>
      </w:r>
      <w:r>
        <w:rPr>
          <w:rFonts w:ascii="Segoe UI Symbol" w:eastAsia="楷体" w:hAnsi="Segoe UI Symbol" w:cs="楷体"/>
          <w:bCs/>
          <w:sz w:val="28"/>
        </w:rPr>
        <w:t>主协议</w:t>
      </w:r>
      <w:r>
        <w:rPr>
          <w:rFonts w:ascii="Segoe UI Symbol" w:eastAsia="楷体" w:hAnsi="Segoe UI Symbol" w:cs="楷体"/>
          <w:bCs/>
          <w:sz w:val="28"/>
        </w:rPr>
        <w:t>NAFMII</w:t>
      </w:r>
      <w:r>
        <w:rPr>
          <w:rFonts w:ascii="Segoe UI Symbol" w:eastAsia="楷体" w:hAnsi="Segoe UI Symbol" w:cs="楷体"/>
          <w:bCs/>
          <w:sz w:val="28"/>
        </w:rPr>
        <w:t>勾选</w:t>
      </w:r>
      <w:r>
        <w:rPr>
          <w:rFonts w:ascii="Segoe UI Symbol" w:eastAsia="楷体" w:hAnsi="Segoe UI Symbol" w:cs="楷体"/>
          <w:bCs/>
          <w:sz w:val="28"/>
        </w:rPr>
        <w:t>}}</w:t>
      </w:r>
      <w:r>
        <w:rPr>
          <w:rFonts w:ascii="楷体" w:eastAsia="楷体" w:hAnsi="楷体" w:cs="楷体" w:hint="eastAsia"/>
          <w:sz w:val="24"/>
        </w:rPr>
        <w:t>《中国银行间市场金融衍生产品交易主协议（2009年版）》】（“主协议”）,协议编号：{{主协议编号}}和【</w:t>
      </w:r>
      <w:r>
        <w:rPr>
          <w:rFonts w:ascii="Segoe UI Symbol" w:eastAsia="楷体" w:hAnsi="Segoe UI Symbol" w:cs="楷体"/>
          <w:bCs/>
          <w:sz w:val="28"/>
        </w:rPr>
        <w:t>{{</w:t>
      </w:r>
      <w:r>
        <w:rPr>
          <w:rFonts w:ascii="Segoe UI Symbol" w:eastAsia="楷体" w:hAnsi="Segoe UI Symbol" w:cs="楷体"/>
          <w:bCs/>
          <w:sz w:val="28"/>
        </w:rPr>
        <w:t>补充协议</w:t>
      </w:r>
      <w:r>
        <w:rPr>
          <w:rFonts w:ascii="Segoe UI Symbol" w:eastAsia="楷体" w:hAnsi="Segoe UI Symbol" w:cs="楷体"/>
          <w:bCs/>
          <w:sz w:val="28"/>
        </w:rPr>
        <w:t>SAC</w:t>
      </w:r>
      <w:r>
        <w:rPr>
          <w:rFonts w:ascii="Segoe UI Symbol" w:eastAsia="楷体" w:hAnsi="Segoe UI Symbol" w:cs="楷体"/>
          <w:bCs/>
          <w:sz w:val="28"/>
        </w:rPr>
        <w:t>勾选</w:t>
      </w:r>
      <w:r>
        <w:rPr>
          <w:rFonts w:ascii="Segoe UI Symbol" w:eastAsia="楷体" w:hAnsi="Segoe UI Symbol" w:cs="楷体"/>
          <w:bCs/>
          <w:sz w:val="28"/>
        </w:rPr>
        <w:t>}}</w:t>
      </w:r>
      <w:r>
        <w:rPr>
          <w:rFonts w:ascii="楷体" w:eastAsia="楷体" w:hAnsi="楷体" w:cs="楷体" w:hint="eastAsia"/>
          <w:sz w:val="24"/>
        </w:rPr>
        <w:t>《中国证券期货市场衍生品交易主协议》补充协议/</w:t>
      </w:r>
      <w:r>
        <w:rPr>
          <w:rFonts w:ascii="Segoe UI Symbol" w:eastAsia="楷体" w:hAnsi="Segoe UI Symbol" w:cs="楷体"/>
          <w:bCs/>
          <w:sz w:val="28"/>
        </w:rPr>
        <w:t>{{</w:t>
      </w:r>
      <w:r>
        <w:rPr>
          <w:rFonts w:ascii="Segoe UI Symbol" w:eastAsia="楷体" w:hAnsi="Segoe UI Symbol" w:cs="楷体"/>
          <w:bCs/>
          <w:sz w:val="28"/>
        </w:rPr>
        <w:t>补充协议</w:t>
      </w:r>
      <w:r>
        <w:rPr>
          <w:rFonts w:ascii="Segoe UI Symbol" w:eastAsia="楷体" w:hAnsi="Segoe UI Symbol" w:cs="楷体"/>
          <w:bCs/>
          <w:sz w:val="28"/>
        </w:rPr>
        <w:t>NAFMII</w:t>
      </w:r>
      <w:r>
        <w:rPr>
          <w:rFonts w:ascii="Segoe UI Symbol" w:eastAsia="楷体" w:hAnsi="Segoe UI Symbol" w:cs="楷体"/>
          <w:bCs/>
          <w:sz w:val="28"/>
        </w:rPr>
        <w:t>勾选</w:t>
      </w:r>
      <w:r>
        <w:rPr>
          <w:rFonts w:ascii="Segoe UI Symbol" w:eastAsia="楷体" w:hAnsi="Segoe UI Symbol" w:cs="楷体"/>
          <w:bCs/>
          <w:sz w:val="28"/>
        </w:rPr>
        <w:t>}}</w:t>
      </w:r>
      <w:r>
        <w:rPr>
          <w:rFonts w:ascii="楷体" w:eastAsia="楷体" w:hAnsi="楷体" w:cs="楷体" w:hint="eastAsia"/>
          <w:sz w:val="24"/>
        </w:rPr>
        <w:t>《中国银行间市场金融衍生产品交易主协议（2009年版）补充协议》】（“补充协议”）,协议编号：{{补充协议编号}}。作为协议的组成部分，主协议、补充协议中的全部条款适用于本交易确认书，若本交易确认书与主协议、补充协议的规定有任何不一致，本交易确认书具有优先效力。本交易确认书未作约定的事项应遵从主协议、补充协议的约定。在本交易确认书中出现的未定义的术语，应参照主协议、补充协议、</w:t>
      </w:r>
      <w:r>
        <w:rPr>
          <w:rFonts w:ascii="Segoe UI Symbol" w:eastAsia="楷体" w:hAnsi="Segoe UI Symbol" w:cs="楷体"/>
          <w:bCs/>
          <w:sz w:val="28"/>
        </w:rPr>
        <w:t>{{</w:t>
      </w:r>
      <w:r>
        <w:rPr>
          <w:rFonts w:ascii="Segoe UI Symbol" w:eastAsia="楷体" w:hAnsi="Segoe UI Symbol" w:cs="楷体"/>
          <w:bCs/>
          <w:sz w:val="28"/>
        </w:rPr>
        <w:t>协会证券业勾选</w:t>
      </w:r>
      <w:r>
        <w:rPr>
          <w:rFonts w:ascii="Segoe UI Symbol" w:eastAsia="楷体" w:hAnsi="Segoe UI Symbol" w:cs="楷体"/>
          <w:bCs/>
          <w:sz w:val="28"/>
        </w:rPr>
        <w:t>}}</w:t>
      </w:r>
      <w:r>
        <w:rPr>
          <w:rFonts w:ascii="楷体" w:eastAsia="楷体" w:hAnsi="楷体" w:cs="楷体" w:hint="eastAsia"/>
          <w:sz w:val="24"/>
        </w:rPr>
        <w:t>中国证券业协会/</w:t>
      </w:r>
      <w:r>
        <w:rPr>
          <w:rFonts w:ascii="Segoe UI Symbol" w:eastAsia="楷体" w:hAnsi="Segoe UI Symbol" w:cs="楷体"/>
          <w:bCs/>
          <w:sz w:val="28"/>
        </w:rPr>
        <w:t>{{</w:t>
      </w:r>
      <w:r>
        <w:rPr>
          <w:rFonts w:ascii="Segoe UI Symbol" w:eastAsia="楷体" w:hAnsi="Segoe UI Symbol" w:cs="楷体"/>
          <w:bCs/>
          <w:sz w:val="28"/>
        </w:rPr>
        <w:t>协会交易商勾选</w:t>
      </w:r>
      <w:r>
        <w:rPr>
          <w:rFonts w:ascii="Segoe UI Symbol" w:eastAsia="楷体" w:hAnsi="Segoe UI Symbol" w:cs="楷体"/>
          <w:bCs/>
          <w:sz w:val="28"/>
        </w:rPr>
        <w:t>}}</w:t>
      </w:r>
      <w:r>
        <w:rPr>
          <w:rFonts w:ascii="楷体" w:eastAsia="楷体" w:hAnsi="楷体" w:cs="楷体" w:hint="eastAsia"/>
          <w:sz w:val="24"/>
        </w:rPr>
        <w:t>中国银行间市场交易商协会发布的</w:t>
      </w:r>
      <w:r>
        <w:rPr>
          <w:rFonts w:ascii="Segoe UI Symbol" w:eastAsia="楷体" w:hAnsi="Segoe UI Symbol" w:cs="楷体"/>
          <w:bCs/>
          <w:sz w:val="28"/>
        </w:rPr>
        <w:t>{{</w:t>
      </w:r>
      <w:r>
        <w:rPr>
          <w:rFonts w:ascii="Segoe UI Symbol" w:eastAsia="楷体" w:hAnsi="Segoe UI Symbol" w:cs="楷体"/>
          <w:bCs/>
          <w:sz w:val="28"/>
        </w:rPr>
        <w:t>定义文件商品勾选</w:t>
      </w:r>
      <w:r>
        <w:rPr>
          <w:rFonts w:ascii="Segoe UI Symbol" w:eastAsia="楷体" w:hAnsi="Segoe UI Symbol" w:cs="楷体"/>
          <w:bCs/>
          <w:sz w:val="28"/>
        </w:rPr>
        <w:t>}}</w:t>
      </w:r>
      <w:r>
        <w:rPr>
          <w:rFonts w:ascii="楷体" w:eastAsia="楷体" w:hAnsi="楷体" w:cs="楷体" w:hint="eastAsia"/>
          <w:sz w:val="24"/>
        </w:rPr>
        <w:t>《中国证券期货市场场外衍生品交易商品衍生品定义文件(2015年版）》/</w:t>
      </w:r>
      <w:r>
        <w:rPr>
          <w:rFonts w:ascii="Segoe UI Symbol" w:eastAsia="楷体" w:hAnsi="Segoe UI Symbol" w:cs="楷体"/>
          <w:bCs/>
          <w:sz w:val="28"/>
        </w:rPr>
        <w:t>{{</w:t>
      </w:r>
      <w:r>
        <w:rPr>
          <w:rFonts w:ascii="Segoe UI Symbol" w:eastAsia="楷体" w:hAnsi="Segoe UI Symbol" w:cs="楷体"/>
          <w:bCs/>
          <w:sz w:val="28"/>
        </w:rPr>
        <w:t>定义文件利率勾选</w:t>
      </w:r>
      <w:r>
        <w:rPr>
          <w:rFonts w:ascii="Segoe UI Symbol" w:eastAsia="楷体" w:hAnsi="Segoe UI Symbol" w:cs="楷体"/>
          <w:bCs/>
          <w:sz w:val="28"/>
        </w:rPr>
        <w:t>}}</w:t>
      </w:r>
      <w:r>
        <w:rPr>
          <w:rFonts w:ascii="楷体" w:eastAsia="楷体" w:hAnsi="楷体" w:cs="楷体" w:hint="eastAsia"/>
          <w:sz w:val="24"/>
        </w:rPr>
        <w:t>《中国银行间市场利率衍生产品交易定义文件（2022年版）》/</w:t>
      </w:r>
      <w:r>
        <w:rPr>
          <w:rFonts w:ascii="Segoe UI Symbol" w:eastAsia="楷体" w:hAnsi="Segoe UI Symbol" w:cs="楷体"/>
          <w:bCs/>
          <w:sz w:val="28"/>
        </w:rPr>
        <w:t>{{</w:t>
      </w:r>
      <w:r>
        <w:rPr>
          <w:rFonts w:ascii="Segoe UI Symbol" w:eastAsia="楷体" w:hAnsi="Segoe UI Symbol" w:cs="楷体"/>
          <w:bCs/>
          <w:sz w:val="28"/>
        </w:rPr>
        <w:t>定义文件债券勾选</w:t>
      </w:r>
      <w:r>
        <w:rPr>
          <w:rFonts w:ascii="Segoe UI Symbol" w:eastAsia="楷体" w:hAnsi="Segoe UI Symbol" w:cs="楷体"/>
          <w:bCs/>
          <w:sz w:val="28"/>
        </w:rPr>
        <w:t>}}</w:t>
      </w:r>
      <w:r>
        <w:rPr>
          <w:rFonts w:ascii="楷体" w:eastAsia="楷体" w:hAnsi="楷体" w:cs="楷体" w:hint="eastAsia"/>
          <w:sz w:val="24"/>
        </w:rPr>
        <w:t>《中国银行间市场债券衍生产品交易定义文件（2012年版）》（“定义文件”）中的规定。若主协议、补充协议、定义文件、本交易确认书存在任何不一致之处，适用顺序为：本交易确认书、补充协议、主协议、定义文件。</w:t>
      </w:r>
    </w:p>
    <w:p w14:paraId="3B7154A1" w14:textId="77777777" w:rsidR="00FE777E" w:rsidRDefault="00627A08">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本交易确认书一式【两】份，甲乙双方各留【一】份；本交易确认书经双方加盖公章</w:t>
      </w:r>
      <w:r>
        <w:rPr>
          <w:rFonts w:ascii="楷体" w:eastAsia="楷体" w:hAnsi="楷体" w:cs="楷体" w:hint="eastAsia"/>
          <w:sz w:val="24"/>
          <w:lang w:val="en-US"/>
        </w:rPr>
        <w:t>或授权业务章</w:t>
      </w:r>
      <w:r>
        <w:rPr>
          <w:rFonts w:ascii="楷体" w:eastAsia="楷体" w:hAnsi="楷体" w:cs="楷体" w:hint="eastAsia"/>
          <w:sz w:val="24"/>
        </w:rPr>
        <w:t>后生效；本交易确认书构成甲方和乙方就本交易达成的具有约束力的协议。</w:t>
      </w:r>
      <w:r>
        <w:rPr>
          <w:rFonts w:ascii="楷体" w:eastAsia="楷体" w:hAnsi="楷体" w:cs="楷体" w:hint="eastAsia"/>
          <w:sz w:val="24"/>
          <w:szCs w:val="24"/>
        </w:rPr>
        <w:t>本确认书的签署采用符合《中华人民共和国电子签名法》(以下简称“《电子签名法》”)规定的电子签名(签章)方式的，经甲方以电子签名(签章)方式完成法定代表人签字签章并加盖公司公章、并经乙方以电子签名(签章)方式完成法定代表人签字签章并加盖公章后生效。以符合《电子签名法》规定的可靠的电子签名(签章)在交易确认书上签署，与在纸质交易确认书上手写签名或盖章具有同等法律效力，无须另行签署纸质交易确认书。</w:t>
      </w:r>
    </w:p>
    <w:p w14:paraId="05C8672E" w14:textId="77777777" w:rsidR="00FE777E" w:rsidRDefault="00627A08">
      <w:pPr>
        <w:spacing w:beforeLines="50" w:before="120" w:afterLines="50" w:after="12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本交易确认书取代在本交易确认书签署日期及之前就本交易而发送的任何其他交易承认或确认（如有），包括但不限于所有其他的书面确认、电话及口头确认。</w:t>
      </w:r>
    </w:p>
    <w:p w14:paraId="742AF625" w14:textId="77777777" w:rsidR="00FE777E" w:rsidRDefault="00627A08">
      <w:pPr>
        <w:spacing w:after="0" w:line="240" w:lineRule="auto"/>
        <w:rPr>
          <w:rFonts w:ascii="楷体" w:eastAsia="楷体" w:hAnsi="楷体" w:cs="楷体"/>
          <w:sz w:val="24"/>
          <w:szCs w:val="24"/>
        </w:rPr>
      </w:pPr>
      <w:r>
        <w:rPr>
          <w:rFonts w:ascii="楷体" w:eastAsia="楷体" w:hAnsi="楷体" w:cs="楷体" w:hint="eastAsia"/>
          <w:sz w:val="24"/>
          <w:szCs w:val="24"/>
        </w:rPr>
        <w:lastRenderedPageBreak/>
        <w:br w:type="page"/>
      </w:r>
    </w:p>
    <w:tbl>
      <w:tblPr>
        <w:tblStyle w:val="a9"/>
        <w:tblW w:w="0" w:type="auto"/>
        <w:tblLook w:val="04A0" w:firstRow="1" w:lastRow="0" w:firstColumn="1" w:lastColumn="0" w:noHBand="0" w:noVBand="1"/>
      </w:tblPr>
      <w:tblGrid>
        <w:gridCol w:w="2263"/>
        <w:gridCol w:w="6033"/>
      </w:tblGrid>
      <w:tr w:rsidR="00FE777E" w14:paraId="29E88496" w14:textId="77777777">
        <w:tc>
          <w:tcPr>
            <w:tcW w:w="8296" w:type="dxa"/>
            <w:gridSpan w:val="2"/>
            <w:shd w:val="clear" w:color="auto" w:fill="D9D9D9" w:themeFill="background1" w:themeFillShade="D9"/>
          </w:tcPr>
          <w:p w14:paraId="2F31F09D" w14:textId="77777777" w:rsidR="00FE777E" w:rsidRDefault="00627A08">
            <w:pPr>
              <w:pStyle w:val="aa"/>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lastRenderedPageBreak/>
              <w:t>基本条款</w:t>
            </w:r>
          </w:p>
        </w:tc>
      </w:tr>
      <w:tr w:rsidR="00FE777E" w14:paraId="24A3AEB9" w14:textId="77777777">
        <w:tc>
          <w:tcPr>
            <w:tcW w:w="2263" w:type="dxa"/>
          </w:tcPr>
          <w:p w14:paraId="58334841"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交易达成日</w:t>
            </w:r>
          </w:p>
        </w:tc>
        <w:tc>
          <w:tcPr>
            <w:tcW w:w="6033" w:type="dxa"/>
          </w:tcPr>
          <w:p w14:paraId="4267D6AE"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FE777E" w14:paraId="245414CB" w14:textId="77777777">
        <w:tc>
          <w:tcPr>
            <w:tcW w:w="2263" w:type="dxa"/>
          </w:tcPr>
          <w:p w14:paraId="3672BD0F"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起始日</w:t>
            </w:r>
          </w:p>
        </w:tc>
        <w:tc>
          <w:tcPr>
            <w:tcW w:w="6033" w:type="dxa"/>
          </w:tcPr>
          <w:p w14:paraId="6ACBB7B9"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见附件一。如该日为非营业日，则自动推迟至该日后的第一个营业日。</w:t>
            </w:r>
          </w:p>
        </w:tc>
      </w:tr>
      <w:tr w:rsidR="00FE777E" w14:paraId="71C97DF9" w14:textId="77777777">
        <w:tc>
          <w:tcPr>
            <w:tcW w:w="2263" w:type="dxa"/>
          </w:tcPr>
          <w:p w14:paraId="48AE6877"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预计到期日</w:t>
            </w:r>
          </w:p>
        </w:tc>
        <w:tc>
          <w:tcPr>
            <w:tcW w:w="6033" w:type="dxa"/>
          </w:tcPr>
          <w:p w14:paraId="65EA8A53"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FE777E" w14:paraId="6B3ED12D" w14:textId="77777777">
        <w:tc>
          <w:tcPr>
            <w:tcW w:w="2263" w:type="dxa"/>
          </w:tcPr>
          <w:p w14:paraId="59F2A1E8"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到期日</w:t>
            </w:r>
          </w:p>
        </w:tc>
        <w:tc>
          <w:tcPr>
            <w:tcW w:w="6033" w:type="dxa"/>
          </w:tcPr>
          <w:p w14:paraId="4C3A2336"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下列日期中较早发生之日，如该日为非营业日，则自动推迟至该日后的第一个营业日（可能根据参考标的期末价格的确定以及营业日准则进行相应推迟）：</w:t>
            </w:r>
          </w:p>
          <w:p w14:paraId="6D65B7F7"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1. 预计到期日;</w:t>
            </w:r>
          </w:p>
          <w:p w14:paraId="724F6767"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2. 提前终止日。</w:t>
            </w:r>
          </w:p>
        </w:tc>
      </w:tr>
      <w:tr w:rsidR="00FE777E" w14:paraId="7CFA88EA" w14:textId="77777777">
        <w:tc>
          <w:tcPr>
            <w:tcW w:w="2263" w:type="dxa"/>
          </w:tcPr>
          <w:p w14:paraId="63EBA7CD"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交易期限</w:t>
            </w:r>
          </w:p>
        </w:tc>
        <w:tc>
          <w:tcPr>
            <w:tcW w:w="6033" w:type="dxa"/>
          </w:tcPr>
          <w:p w14:paraId="6291586F"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自【交易达成日】至【到期日】的自然日天数。</w:t>
            </w:r>
          </w:p>
        </w:tc>
      </w:tr>
      <w:tr w:rsidR="00FE777E" w14:paraId="3A05F875" w14:textId="77777777">
        <w:tc>
          <w:tcPr>
            <w:tcW w:w="2263" w:type="dxa"/>
          </w:tcPr>
          <w:p w14:paraId="32637D1C"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期初观察日</w:t>
            </w:r>
          </w:p>
        </w:tc>
        <w:tc>
          <w:tcPr>
            <w:tcW w:w="6033" w:type="dxa"/>
          </w:tcPr>
          <w:p w14:paraId="2DC357A4"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见附件一。如期初观察日为非营业日或者在该日不能确定期初价格，则顺延至下一营业日。</w:t>
            </w:r>
          </w:p>
        </w:tc>
      </w:tr>
      <w:tr w:rsidR="00FE777E" w14:paraId="64914280" w14:textId="77777777">
        <w:tc>
          <w:tcPr>
            <w:tcW w:w="2263" w:type="dxa"/>
          </w:tcPr>
          <w:p w14:paraId="12197E18"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期末观察日</w:t>
            </w:r>
          </w:p>
        </w:tc>
        <w:tc>
          <w:tcPr>
            <w:tcW w:w="6033" w:type="dxa"/>
          </w:tcPr>
          <w:p w14:paraId="77070D2C"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见附件一。如期末观察日为非营业日或者在该日不能确定期初价格，则顺延至下一营业日。</w:t>
            </w:r>
          </w:p>
        </w:tc>
      </w:tr>
      <w:tr w:rsidR="00FE777E" w14:paraId="66DA53AF" w14:textId="77777777">
        <w:tc>
          <w:tcPr>
            <w:tcW w:w="2263" w:type="dxa"/>
          </w:tcPr>
          <w:p w14:paraId="33B10989"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营业日</w:t>
            </w:r>
          </w:p>
        </w:tc>
        <w:tc>
          <w:tcPr>
            <w:tcW w:w="6033" w:type="dxa"/>
          </w:tcPr>
          <w:p w14:paraId="29C788DD"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指中华人民共和国境内证券交易所和商业银行均正常开市的日期。</w:t>
            </w:r>
          </w:p>
        </w:tc>
      </w:tr>
      <w:tr w:rsidR="00FE777E" w14:paraId="0A6E1A92" w14:textId="77777777">
        <w:tc>
          <w:tcPr>
            <w:tcW w:w="2263" w:type="dxa"/>
          </w:tcPr>
          <w:p w14:paraId="60C952C3"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营业日准则</w:t>
            </w:r>
          </w:p>
        </w:tc>
        <w:tc>
          <w:tcPr>
            <w:tcW w:w="6033" w:type="dxa"/>
          </w:tcPr>
          <w:p w14:paraId="2678FC27"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如果本交易确认书规定的某一日非营业日，则顺延至下一营业日。</w:t>
            </w:r>
          </w:p>
        </w:tc>
      </w:tr>
      <w:tr w:rsidR="00FE777E" w14:paraId="466BD1BB" w14:textId="77777777">
        <w:tc>
          <w:tcPr>
            <w:tcW w:w="2263" w:type="dxa"/>
          </w:tcPr>
          <w:p w14:paraId="3CFE0192"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交易日</w:t>
            </w:r>
          </w:p>
        </w:tc>
        <w:tc>
          <w:tcPr>
            <w:tcW w:w="6033" w:type="dxa"/>
          </w:tcPr>
          <w:p w14:paraId="778F1028"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参考标的所在交易场所的正常交易日。</w:t>
            </w:r>
          </w:p>
        </w:tc>
      </w:tr>
      <w:tr w:rsidR="00FE777E" w14:paraId="16F21747" w14:textId="77777777">
        <w:tc>
          <w:tcPr>
            <w:tcW w:w="2263" w:type="dxa"/>
          </w:tcPr>
          <w:p w14:paraId="3159CEDF"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计算机构</w:t>
            </w:r>
          </w:p>
        </w:tc>
        <w:tc>
          <w:tcPr>
            <w:tcW w:w="6033" w:type="dxa"/>
          </w:tcPr>
          <w:p w14:paraId="5D6215FB"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甲方。</w:t>
            </w:r>
            <w:r>
              <w:rPr>
                <w:rFonts w:ascii="楷体" w:eastAsia="楷体" w:hAnsi="楷体" w:cs="楷体" w:hint="eastAsia"/>
                <w:bCs/>
                <w:sz w:val="24"/>
                <w:szCs w:val="20"/>
              </w:rPr>
              <w:t>为免疑义，除特别说明以外，本交易中涉及金额计算的有关变量的具体数值（包括但不限于参考标的价格、日期、期间等）均由计算机构根据商业合理原则确定。</w:t>
            </w:r>
          </w:p>
        </w:tc>
      </w:tr>
      <w:tr w:rsidR="00FE777E" w14:paraId="151BEBE9" w14:textId="77777777">
        <w:tc>
          <w:tcPr>
            <w:tcW w:w="2263" w:type="dxa"/>
          </w:tcPr>
          <w:p w14:paraId="6073B125"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w:t>
            </w:r>
          </w:p>
        </w:tc>
        <w:tc>
          <w:tcPr>
            <w:tcW w:w="6033" w:type="dxa"/>
          </w:tcPr>
          <w:p w14:paraId="515FB4AD"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指附件一所列证券或由计算机构按诚实信用和商业上合理的方式确定的任何替代债务：</w:t>
            </w:r>
          </w:p>
          <w:p w14:paraId="5FA341B0"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为避免疑义，对于本收益互换交易，甲方可持有、但无义务持有任何参考标的。</w:t>
            </w:r>
          </w:p>
        </w:tc>
      </w:tr>
      <w:tr w:rsidR="00FE777E" w14:paraId="7B993EBD" w14:textId="77777777">
        <w:tc>
          <w:tcPr>
            <w:tcW w:w="2263" w:type="dxa"/>
          </w:tcPr>
          <w:p w14:paraId="6B35FD7E"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收盘价</w:t>
            </w:r>
          </w:p>
        </w:tc>
        <w:tc>
          <w:tcPr>
            <w:tcW w:w="6033" w:type="dxa"/>
          </w:tcPr>
          <w:p w14:paraId="114ABF4A"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某一营业日的收盘价以证券交易所公布的数据为准。</w:t>
            </w:r>
          </w:p>
        </w:tc>
      </w:tr>
      <w:tr w:rsidR="00FE777E" w14:paraId="1B9D6D2F" w14:textId="77777777">
        <w:tc>
          <w:tcPr>
            <w:tcW w:w="2263" w:type="dxa"/>
          </w:tcPr>
          <w:p w14:paraId="4108D617"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参考标的期初价格</w:t>
            </w:r>
          </w:p>
        </w:tc>
        <w:tc>
          <w:tcPr>
            <w:tcW w:w="6033" w:type="dxa"/>
          </w:tcPr>
          <w:p w14:paraId="0B0A0CE5"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见附件一，四舍五入精确到小数点后4位。</w:t>
            </w:r>
          </w:p>
        </w:tc>
      </w:tr>
      <w:tr w:rsidR="00FE777E" w14:paraId="2B7F08CE" w14:textId="77777777">
        <w:tc>
          <w:tcPr>
            <w:tcW w:w="2263" w:type="dxa"/>
          </w:tcPr>
          <w:p w14:paraId="01725C33"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参考标的名义份额</w:t>
            </w:r>
          </w:p>
        </w:tc>
        <w:tc>
          <w:tcPr>
            <w:tcW w:w="6033" w:type="dxa"/>
          </w:tcPr>
          <w:p w14:paraId="1B47C5E1"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见附件一（以人民币元表示）</w:t>
            </w:r>
            <w:r>
              <w:rPr>
                <w:rFonts w:ascii="楷体" w:eastAsia="楷体" w:hAnsi="楷体" w:cs="楷体" w:hint="eastAsia"/>
                <w:sz w:val="24"/>
                <w:szCs w:val="24"/>
                <w:lang w:val="en-US"/>
              </w:rPr>
              <w:t>。</w:t>
            </w:r>
          </w:p>
        </w:tc>
      </w:tr>
      <w:tr w:rsidR="00FE777E" w14:paraId="235540FF" w14:textId="77777777">
        <w:tc>
          <w:tcPr>
            <w:tcW w:w="2263" w:type="dxa"/>
          </w:tcPr>
          <w:p w14:paraId="4381916D"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名义本金</w:t>
            </w:r>
          </w:p>
        </w:tc>
        <w:tc>
          <w:tcPr>
            <w:tcW w:w="6033" w:type="dxa"/>
          </w:tcPr>
          <w:p w14:paraId="5CB4E8D6"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见附件一（以人民币元表示），名义本金 = 参考标的名义份额×参考标的期初价格，四舍五入精确到小数点后【2】位。</w:t>
            </w:r>
          </w:p>
        </w:tc>
      </w:tr>
      <w:tr w:rsidR="00FE777E" w14:paraId="654EB9CE" w14:textId="77777777">
        <w:tc>
          <w:tcPr>
            <w:tcW w:w="2263" w:type="dxa"/>
          </w:tcPr>
          <w:p w14:paraId="18AB35A7"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计价货币</w:t>
            </w:r>
          </w:p>
        </w:tc>
        <w:tc>
          <w:tcPr>
            <w:tcW w:w="6033" w:type="dxa"/>
          </w:tcPr>
          <w:p w14:paraId="7B36184A"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人民币</w:t>
            </w:r>
          </w:p>
        </w:tc>
      </w:tr>
      <w:tr w:rsidR="00FE777E" w14:paraId="5F3FE755" w14:textId="77777777">
        <w:tc>
          <w:tcPr>
            <w:tcW w:w="2263" w:type="dxa"/>
          </w:tcPr>
          <w:p w14:paraId="183AF578"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结算货币</w:t>
            </w:r>
          </w:p>
        </w:tc>
        <w:tc>
          <w:tcPr>
            <w:tcW w:w="6033" w:type="dxa"/>
          </w:tcPr>
          <w:p w14:paraId="28E7CA12"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人民币</w:t>
            </w:r>
          </w:p>
        </w:tc>
      </w:tr>
      <w:tr w:rsidR="00FE777E" w14:paraId="7496386F" w14:textId="77777777">
        <w:tc>
          <w:tcPr>
            <w:tcW w:w="2263" w:type="dxa"/>
          </w:tcPr>
          <w:p w14:paraId="319A9D11"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参考标的证券持有人</w:t>
            </w:r>
          </w:p>
        </w:tc>
        <w:tc>
          <w:tcPr>
            <w:tcW w:w="6033" w:type="dxa"/>
          </w:tcPr>
          <w:p w14:paraId="13887251"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指在参考标的证券权益登记日当天实际持有标的名义份额或经调整的标的名义份额，并有权收取分红或其他现金金额的任一主体。</w:t>
            </w:r>
          </w:p>
        </w:tc>
      </w:tr>
      <w:tr w:rsidR="00FE777E" w14:paraId="21B614DF" w14:textId="77777777">
        <w:tc>
          <w:tcPr>
            <w:tcW w:w="2263" w:type="dxa"/>
          </w:tcPr>
          <w:p w14:paraId="41FFDE34"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拆分或合并</w:t>
            </w:r>
          </w:p>
        </w:tc>
        <w:tc>
          <w:tcPr>
            <w:tcW w:w="6033" w:type="dxa"/>
          </w:tcPr>
          <w:p w14:paraId="0FFC4FAE"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标的证券为基金，如交易存续期间发生拆分或合并的，将于除权日对“参考标的名义份额”和“参考标的期初价格”进行如下调整：</w:t>
            </w:r>
          </w:p>
          <w:p w14:paraId="5D897112"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经调整的参考标的名义份额=参考标的名义份额×拆分或合并比例；</w:t>
            </w:r>
          </w:p>
          <w:p w14:paraId="7CC3957A"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经调整的参考标的期初价格=参考标的期初价格÷拆分或合并比例。</w:t>
            </w:r>
          </w:p>
          <w:p w14:paraId="764A76A2"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折算方式及比例以基金管理人公布的公告为准。</w:t>
            </w:r>
          </w:p>
        </w:tc>
      </w:tr>
      <w:tr w:rsidR="00FE777E" w14:paraId="5347C9A0" w14:textId="77777777">
        <w:tc>
          <w:tcPr>
            <w:tcW w:w="2263" w:type="dxa"/>
          </w:tcPr>
          <w:p w14:paraId="614B77C4"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授信和授信抵扣适用范围</w:t>
            </w:r>
          </w:p>
        </w:tc>
        <w:tc>
          <w:tcPr>
            <w:tcW w:w="6033" w:type="dxa"/>
          </w:tcPr>
          <w:p w14:paraId="273E825B"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甲方对乙方具有授信的，乙方应向甲方支付的期初预付金额、追保金额可以全部或部分通过占用甲方对乙方的授信额度的方式替代（“授信替代”）。具体授信替代额度的计算方式由计算机构根据其内部制度确定。</w:t>
            </w:r>
          </w:p>
          <w:p w14:paraId="241BA2F8"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在本交易项下的授信替代与甲方对乙方的其他授信业务及交易项下的授信替代合并计算，累计应小于等于甲方为乙方设定的授信额度。前述甲方对乙方的授信额度由甲方根据其内部评估制订，并可能由甲方因其风控模型修改、乙方信用状况变化、监管规则修订、监管机构指导等因素实时调整。当乙方在甲方的各项业务及交易项下的累计授信替代超出甲方对乙方的授信额度时，甲方有权要求乙方按照甲方通知的金额追加履约保障品或提前终止本交易以使授信替代降至授信额度以内。</w:t>
            </w:r>
          </w:p>
        </w:tc>
      </w:tr>
      <w:tr w:rsidR="00FE777E" w14:paraId="3E2B6252" w14:textId="77777777">
        <w:tc>
          <w:tcPr>
            <w:tcW w:w="2263" w:type="dxa"/>
          </w:tcPr>
          <w:p w14:paraId="040EEE8C" w14:textId="77777777" w:rsidR="00FE777E" w:rsidRDefault="00627A08">
            <w:pPr>
              <w:pStyle w:val="aa"/>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净额结算</w:t>
            </w:r>
          </w:p>
        </w:tc>
        <w:tc>
          <w:tcPr>
            <w:tcW w:w="6033" w:type="dxa"/>
          </w:tcPr>
          <w:p w14:paraId="4BE22828"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在本交易项下同一日交易双方均对另外一方发生支付义务的，按照轧差后的净额支付，按四舍五入法精确到小数点后【2】位。</w:t>
            </w:r>
          </w:p>
        </w:tc>
      </w:tr>
      <w:tr w:rsidR="00FE777E" w14:paraId="21111BA0" w14:textId="77777777">
        <w:tc>
          <w:tcPr>
            <w:tcW w:w="8296" w:type="dxa"/>
            <w:gridSpan w:val="2"/>
            <w:shd w:val="clear" w:color="auto" w:fill="D9D9D9" w:themeFill="background1" w:themeFillShade="D9"/>
          </w:tcPr>
          <w:p w14:paraId="2167AAD3" w14:textId="77777777" w:rsidR="00FE777E" w:rsidRDefault="00627A08">
            <w:pPr>
              <w:pStyle w:val="aa"/>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期初预付金条款</w:t>
            </w:r>
          </w:p>
        </w:tc>
      </w:tr>
      <w:tr w:rsidR="00FE777E" w14:paraId="403EBC86" w14:textId="77777777">
        <w:tc>
          <w:tcPr>
            <w:tcW w:w="2263" w:type="dxa"/>
          </w:tcPr>
          <w:p w14:paraId="285D7ABB" w14:textId="77777777" w:rsidR="00FE777E" w:rsidRDefault="00627A08">
            <w:pPr>
              <w:pStyle w:val="aa"/>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期初预付金支付方</w:t>
            </w:r>
          </w:p>
        </w:tc>
        <w:tc>
          <w:tcPr>
            <w:tcW w:w="6033" w:type="dxa"/>
          </w:tcPr>
          <w:p w14:paraId="253A14DA"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w:t>
            </w:r>
          </w:p>
        </w:tc>
      </w:tr>
      <w:tr w:rsidR="00FE777E" w14:paraId="1C18DEEB" w14:textId="77777777">
        <w:tc>
          <w:tcPr>
            <w:tcW w:w="2263" w:type="dxa"/>
          </w:tcPr>
          <w:p w14:paraId="41D3258A" w14:textId="77777777" w:rsidR="00FE777E" w:rsidRDefault="00627A08">
            <w:pPr>
              <w:pStyle w:val="aa"/>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期初预付金支付日</w:t>
            </w:r>
          </w:p>
        </w:tc>
        <w:tc>
          <w:tcPr>
            <w:tcW w:w="6033" w:type="dxa"/>
          </w:tcPr>
          <w:p w14:paraId="5C53F633"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起始日17:00前</w:t>
            </w:r>
          </w:p>
        </w:tc>
      </w:tr>
      <w:tr w:rsidR="00FE777E" w14:paraId="486FA055" w14:textId="77777777">
        <w:tc>
          <w:tcPr>
            <w:tcW w:w="2263" w:type="dxa"/>
          </w:tcPr>
          <w:p w14:paraId="012C8F6D" w14:textId="77777777" w:rsidR="00FE777E" w:rsidRDefault="00627A08">
            <w:pPr>
              <w:pStyle w:val="aa"/>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期初预付比例</w:t>
            </w:r>
          </w:p>
        </w:tc>
        <w:tc>
          <w:tcPr>
            <w:tcW w:w="6033" w:type="dxa"/>
          </w:tcPr>
          <w:p w14:paraId="258708F7"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FE777E" w14:paraId="7A1E60D3" w14:textId="77777777">
        <w:tc>
          <w:tcPr>
            <w:tcW w:w="2263" w:type="dxa"/>
          </w:tcPr>
          <w:p w14:paraId="7D66AF7C" w14:textId="77777777" w:rsidR="00FE777E" w:rsidRDefault="00627A08">
            <w:pPr>
              <w:pStyle w:val="aa"/>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期初预付金额</w:t>
            </w:r>
          </w:p>
        </w:tc>
        <w:tc>
          <w:tcPr>
            <w:tcW w:w="6033" w:type="dxa"/>
          </w:tcPr>
          <w:p w14:paraId="67671F08"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见附件一，期初预付金金额应不低于名义本金×期初预付金比例。</w:t>
            </w:r>
          </w:p>
        </w:tc>
      </w:tr>
      <w:tr w:rsidR="00FE777E" w14:paraId="057C3062" w14:textId="77777777">
        <w:tc>
          <w:tcPr>
            <w:tcW w:w="2263" w:type="dxa"/>
          </w:tcPr>
          <w:p w14:paraId="7A758692" w14:textId="77777777" w:rsidR="00FE777E" w:rsidRDefault="00627A08">
            <w:pPr>
              <w:pStyle w:val="aa"/>
              <w:numPr>
                <w:ilvl w:val="0"/>
                <w:numId w:val="3"/>
              </w:numPr>
              <w:spacing w:beforeLines="50" w:before="120" w:after="0" w:line="240" w:lineRule="auto"/>
              <w:rPr>
                <w:rFonts w:ascii="楷体" w:eastAsia="楷体" w:hAnsi="楷体" w:cs="楷体"/>
                <w:sz w:val="24"/>
                <w:szCs w:val="24"/>
              </w:rPr>
            </w:pPr>
            <w:bookmarkStart w:id="0" w:name="OLE_LINK7"/>
            <w:r>
              <w:rPr>
                <w:rFonts w:ascii="楷体" w:eastAsia="楷体" w:hAnsi="楷体" w:cs="楷体" w:hint="eastAsia"/>
                <w:sz w:val="24"/>
                <w:szCs w:val="24"/>
              </w:rPr>
              <w:lastRenderedPageBreak/>
              <w:t>期初预付金利率</w:t>
            </w:r>
            <w:bookmarkEnd w:id="0"/>
          </w:p>
        </w:tc>
        <w:tc>
          <w:tcPr>
            <w:tcW w:w="6033" w:type="dxa"/>
          </w:tcPr>
          <w:p w14:paraId="09B87C10"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FE777E" w14:paraId="0AD8240F" w14:textId="77777777">
        <w:tc>
          <w:tcPr>
            <w:tcW w:w="2263" w:type="dxa"/>
          </w:tcPr>
          <w:p w14:paraId="0858C66B" w14:textId="77777777" w:rsidR="00FE777E" w:rsidRDefault="00627A08">
            <w:pPr>
              <w:pStyle w:val="aa"/>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期初现金交换比例</w:t>
            </w:r>
          </w:p>
        </w:tc>
        <w:tc>
          <w:tcPr>
            <w:tcW w:w="6033" w:type="dxa"/>
          </w:tcPr>
          <w:p w14:paraId="50C0ADCB"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FE777E" w14:paraId="2303820B" w14:textId="77777777">
        <w:tc>
          <w:tcPr>
            <w:tcW w:w="2263" w:type="dxa"/>
          </w:tcPr>
          <w:p w14:paraId="20EC08BA" w14:textId="77777777" w:rsidR="00FE777E" w:rsidRDefault="00627A08">
            <w:pPr>
              <w:pStyle w:val="aa"/>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期初现金</w:t>
            </w:r>
            <w:r>
              <w:rPr>
                <w:rFonts w:ascii="楷体" w:eastAsia="楷体" w:hAnsi="楷体" w:cs="楷体" w:hint="eastAsia"/>
                <w:sz w:val="24"/>
                <w:szCs w:val="24"/>
                <w:lang w:val="en-US"/>
              </w:rPr>
              <w:t>交换</w:t>
            </w:r>
            <w:r>
              <w:rPr>
                <w:rFonts w:ascii="楷体" w:eastAsia="楷体" w:hAnsi="楷体" w:cs="楷体" w:hint="eastAsia"/>
                <w:sz w:val="24"/>
                <w:szCs w:val="24"/>
              </w:rPr>
              <w:t>金额</w:t>
            </w:r>
          </w:p>
        </w:tc>
        <w:tc>
          <w:tcPr>
            <w:tcW w:w="6033" w:type="dxa"/>
          </w:tcPr>
          <w:p w14:paraId="1A1780AB"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见附件一，期初现金交换金额不低于参考标的券面总额×参考标的期初全价×期初现金交换比例。</w:t>
            </w:r>
          </w:p>
          <w:p w14:paraId="12AFE356"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为免疑义，乙方支付的期初现金交换金额项下的资金不应视为为甲方设定任何担保物权，甲方在本交易存续期间有权使用期初现金交换金额。</w:t>
            </w:r>
          </w:p>
          <w:p w14:paraId="00B10B1A"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期初现金交换金额不可通过占用甲方对乙方的授信额度的方式替代。</w:t>
            </w:r>
          </w:p>
        </w:tc>
      </w:tr>
      <w:tr w:rsidR="00FE777E" w14:paraId="5A215430" w14:textId="77777777">
        <w:tc>
          <w:tcPr>
            <w:tcW w:w="2263" w:type="dxa"/>
          </w:tcPr>
          <w:p w14:paraId="58A0B02B" w14:textId="77777777" w:rsidR="00FE777E" w:rsidRDefault="00627A08">
            <w:pPr>
              <w:pStyle w:val="aa"/>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期初预付金利息计息天数</w:t>
            </w:r>
          </w:p>
        </w:tc>
        <w:tc>
          <w:tcPr>
            <w:tcW w:w="6033" w:type="dxa"/>
          </w:tcPr>
          <w:p w14:paraId="2793549A"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自期初预付金支付日（含）至到期日（含）止的期间的自然日天数。</w:t>
            </w:r>
          </w:p>
        </w:tc>
      </w:tr>
      <w:tr w:rsidR="00FE777E" w14:paraId="57A4BC6F" w14:textId="77777777">
        <w:tc>
          <w:tcPr>
            <w:tcW w:w="2263" w:type="dxa"/>
          </w:tcPr>
          <w:p w14:paraId="4BA790C6" w14:textId="77777777" w:rsidR="00FE777E" w:rsidRDefault="00627A08">
            <w:pPr>
              <w:pStyle w:val="aa"/>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期初预付金利息金额</w:t>
            </w:r>
          </w:p>
        </w:tc>
        <w:tc>
          <w:tcPr>
            <w:tcW w:w="6033" w:type="dxa"/>
          </w:tcPr>
          <w:p w14:paraId="7669E5E0"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期初现金交换金额×期初预付金利率×期初预付金利息计息天数/计息基准</w:t>
            </w:r>
          </w:p>
        </w:tc>
      </w:tr>
      <w:tr w:rsidR="00FE777E" w14:paraId="07B98BEB" w14:textId="77777777">
        <w:tc>
          <w:tcPr>
            <w:tcW w:w="8296" w:type="dxa"/>
            <w:gridSpan w:val="2"/>
            <w:shd w:val="clear" w:color="auto" w:fill="D9D9D9" w:themeFill="background1" w:themeFillShade="D9"/>
          </w:tcPr>
          <w:p w14:paraId="65DDC41D" w14:textId="77777777" w:rsidR="00FE777E" w:rsidRDefault="00627A08">
            <w:pPr>
              <w:pStyle w:val="aa"/>
              <w:numPr>
                <w:ilvl w:val="0"/>
                <w:numId w:val="1"/>
              </w:numPr>
              <w:spacing w:beforeLines="50" w:before="120" w:after="0" w:line="240" w:lineRule="auto"/>
              <w:rPr>
                <w:rFonts w:ascii="楷体" w:eastAsia="楷体" w:hAnsi="楷体" w:cs="楷体"/>
                <w:b/>
                <w:sz w:val="24"/>
                <w:szCs w:val="24"/>
              </w:rPr>
            </w:pPr>
            <w:r>
              <w:rPr>
                <w:rFonts w:ascii="楷体" w:eastAsia="楷体" w:hAnsi="楷体" w:cs="楷体" w:hint="eastAsia"/>
                <w:b/>
                <w:sz w:val="24"/>
                <w:szCs w:val="24"/>
              </w:rPr>
              <w:t>固定收益金额条款</w:t>
            </w:r>
          </w:p>
        </w:tc>
      </w:tr>
      <w:tr w:rsidR="00FE777E" w14:paraId="2A403136" w14:textId="77777777">
        <w:tc>
          <w:tcPr>
            <w:tcW w:w="2263" w:type="dxa"/>
          </w:tcPr>
          <w:p w14:paraId="743961C0" w14:textId="77777777" w:rsidR="00FE777E" w:rsidRDefault="00627A08">
            <w:p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3.1固定收益支付方</w:t>
            </w:r>
          </w:p>
        </w:tc>
        <w:tc>
          <w:tcPr>
            <w:tcW w:w="6033" w:type="dxa"/>
          </w:tcPr>
          <w:p w14:paraId="58680978"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甲方</w:t>
            </w:r>
          </w:p>
        </w:tc>
      </w:tr>
      <w:tr w:rsidR="00FE777E" w14:paraId="2630B57C" w14:textId="77777777">
        <w:tc>
          <w:tcPr>
            <w:tcW w:w="2263" w:type="dxa"/>
          </w:tcPr>
          <w:p w14:paraId="7BACBEAD" w14:textId="77777777" w:rsidR="00FE777E" w:rsidRDefault="00627A08">
            <w:p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3.2固定收益率（年化）</w:t>
            </w:r>
          </w:p>
        </w:tc>
        <w:tc>
          <w:tcPr>
            <w:tcW w:w="6033" w:type="dxa"/>
          </w:tcPr>
          <w:p w14:paraId="2D1BFFCA" w14:textId="77777777" w:rsidR="00FE777E" w:rsidRDefault="00627A08">
            <w:pPr>
              <w:spacing w:beforeLines="50" w:before="120" w:after="0" w:line="240" w:lineRule="auto"/>
              <w:jc w:val="both"/>
              <w:rPr>
                <w:rFonts w:ascii="楷体" w:eastAsia="楷体" w:hAnsi="楷体" w:cs="楷体"/>
                <w:bCs/>
                <w:sz w:val="24"/>
                <w:szCs w:val="20"/>
              </w:rPr>
            </w:pPr>
            <w:r>
              <w:rPr>
                <w:rFonts w:ascii="楷体" w:eastAsia="楷体" w:hAnsi="楷体" w:cs="楷体" w:hint="eastAsia"/>
                <w:sz w:val="24"/>
                <w:szCs w:val="24"/>
              </w:rPr>
              <w:t>见附件一</w:t>
            </w:r>
          </w:p>
        </w:tc>
      </w:tr>
      <w:tr w:rsidR="00FE777E" w14:paraId="4118C981" w14:textId="77777777">
        <w:tc>
          <w:tcPr>
            <w:tcW w:w="2263" w:type="dxa"/>
          </w:tcPr>
          <w:p w14:paraId="35AF2C5D" w14:textId="77777777" w:rsidR="00FE777E" w:rsidRDefault="00627A08">
            <w:pPr>
              <w:spacing w:beforeLines="50" w:before="120" w:after="0" w:line="240" w:lineRule="auto"/>
              <w:rPr>
                <w:rFonts w:ascii="楷体" w:eastAsia="楷体" w:hAnsi="楷体" w:cs="楷体"/>
                <w:bCs/>
                <w:sz w:val="24"/>
                <w:szCs w:val="20"/>
              </w:rPr>
            </w:pPr>
            <w:r>
              <w:rPr>
                <w:rFonts w:ascii="楷体" w:eastAsia="楷体" w:hAnsi="楷体" w:cs="楷体" w:hint="eastAsia"/>
                <w:sz w:val="24"/>
                <w:szCs w:val="24"/>
              </w:rPr>
              <w:t>3.3固定</w:t>
            </w:r>
            <w:r>
              <w:rPr>
                <w:rFonts w:ascii="楷体" w:eastAsia="楷体" w:hAnsi="楷体" w:cs="楷体" w:hint="eastAsia"/>
                <w:bCs/>
                <w:sz w:val="24"/>
                <w:szCs w:val="20"/>
              </w:rPr>
              <w:t>收益金额</w:t>
            </w:r>
          </w:p>
        </w:tc>
        <w:tc>
          <w:tcPr>
            <w:tcW w:w="6033" w:type="dxa"/>
          </w:tcPr>
          <w:p w14:paraId="1C45CF38" w14:textId="77777777" w:rsidR="00FE777E" w:rsidRDefault="00627A08">
            <w:pPr>
              <w:spacing w:line="240" w:lineRule="auto"/>
              <w:rPr>
                <w:rFonts w:ascii="楷体" w:eastAsia="楷体" w:hAnsi="楷体" w:cs="楷体"/>
                <w:bCs/>
                <w:sz w:val="24"/>
                <w:szCs w:val="20"/>
              </w:rPr>
            </w:pPr>
            <w:r>
              <w:rPr>
                <w:rFonts w:ascii="楷体" w:eastAsia="楷体" w:hAnsi="楷体" w:cs="楷体" w:hint="eastAsia"/>
                <w:bCs/>
                <w:sz w:val="24"/>
                <w:szCs w:val="20"/>
              </w:rPr>
              <w:t>如发生提前终止事件，在提前终止日，固定收益金额=名义本金×固定收益率（年化）×期初观察日（含）至提前终止日（不含）的自然日天数÷365。</w:t>
            </w:r>
          </w:p>
          <w:p w14:paraId="3D2B4C3E" w14:textId="77777777" w:rsidR="00FE777E" w:rsidRDefault="00627A08">
            <w:pPr>
              <w:spacing w:line="240" w:lineRule="auto"/>
              <w:rPr>
                <w:rFonts w:ascii="楷体" w:eastAsia="楷体" w:hAnsi="楷体" w:cs="楷体"/>
                <w:bCs/>
                <w:sz w:val="24"/>
                <w:szCs w:val="20"/>
              </w:rPr>
            </w:pPr>
            <w:r>
              <w:rPr>
                <w:rFonts w:ascii="楷体" w:eastAsia="楷体" w:hAnsi="楷体" w:cs="楷体" w:hint="eastAsia"/>
                <w:bCs/>
                <w:sz w:val="24"/>
                <w:szCs w:val="20"/>
              </w:rPr>
              <w:t>如未发生提前终止事件，在交易到期日，固定收益金额=名义本金×固定收益率（年化）×期初观察日（含）至期末观察日（不含）的自然日天数÷365。</w:t>
            </w:r>
          </w:p>
        </w:tc>
      </w:tr>
      <w:tr w:rsidR="00FE777E" w14:paraId="6CF6DE3A" w14:textId="77777777">
        <w:tc>
          <w:tcPr>
            <w:tcW w:w="2263" w:type="dxa"/>
          </w:tcPr>
          <w:p w14:paraId="6EF731AD" w14:textId="77777777" w:rsidR="00FE777E" w:rsidRDefault="00627A08">
            <w:p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3.4固定收益金额支付日</w:t>
            </w:r>
          </w:p>
        </w:tc>
        <w:tc>
          <w:tcPr>
            <w:tcW w:w="6033" w:type="dxa"/>
          </w:tcPr>
          <w:p w14:paraId="1C39B58F" w14:textId="77777777" w:rsidR="00FE777E" w:rsidRDefault="00627A08">
            <w:pPr>
              <w:spacing w:line="360" w:lineRule="auto"/>
              <w:rPr>
                <w:rFonts w:ascii="楷体" w:eastAsia="楷体" w:hAnsi="楷体" w:cs="楷体"/>
                <w:bCs/>
                <w:sz w:val="24"/>
                <w:szCs w:val="20"/>
              </w:rPr>
            </w:pPr>
            <w:r>
              <w:rPr>
                <w:rFonts w:ascii="楷体" w:eastAsia="楷体" w:hAnsi="楷体" w:cs="楷体" w:hint="eastAsia"/>
                <w:bCs/>
                <w:sz w:val="24"/>
                <w:szCs w:val="20"/>
              </w:rPr>
              <w:t>结算日</w:t>
            </w:r>
          </w:p>
        </w:tc>
      </w:tr>
      <w:tr w:rsidR="00FE777E" w14:paraId="19C2A3BB" w14:textId="77777777">
        <w:tc>
          <w:tcPr>
            <w:tcW w:w="8296" w:type="dxa"/>
            <w:gridSpan w:val="2"/>
            <w:shd w:val="clear" w:color="auto" w:fill="D9D9D9" w:themeFill="background1" w:themeFillShade="D9"/>
          </w:tcPr>
          <w:p w14:paraId="55B84883" w14:textId="77777777" w:rsidR="00FE777E" w:rsidRDefault="00627A08">
            <w:pPr>
              <w:pStyle w:val="aa"/>
              <w:numPr>
                <w:ilvl w:val="0"/>
                <w:numId w:val="1"/>
              </w:numPr>
              <w:spacing w:beforeLines="50" w:before="120" w:after="0" w:line="240" w:lineRule="auto"/>
              <w:rPr>
                <w:rFonts w:ascii="楷体" w:eastAsia="楷体" w:hAnsi="楷体" w:cs="楷体"/>
                <w:b/>
                <w:bCs/>
                <w:sz w:val="24"/>
                <w:szCs w:val="24"/>
              </w:rPr>
            </w:pPr>
            <w:r>
              <w:rPr>
                <w:rFonts w:ascii="楷体" w:eastAsia="楷体" w:hAnsi="楷体" w:cs="楷体" w:hint="eastAsia"/>
                <w:b/>
                <w:sz w:val="24"/>
                <w:szCs w:val="24"/>
              </w:rPr>
              <w:t>利率收益条款</w:t>
            </w:r>
          </w:p>
        </w:tc>
      </w:tr>
      <w:tr w:rsidR="00FE777E" w14:paraId="4F839D8F" w14:textId="77777777">
        <w:tc>
          <w:tcPr>
            <w:tcW w:w="2263" w:type="dxa"/>
          </w:tcPr>
          <w:p w14:paraId="5B10041D" w14:textId="77777777" w:rsidR="00FE777E" w:rsidRDefault="00627A08">
            <w:pPr>
              <w:pStyle w:val="aa"/>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利率收益支付方</w:t>
            </w:r>
          </w:p>
        </w:tc>
        <w:tc>
          <w:tcPr>
            <w:tcW w:w="6033" w:type="dxa"/>
          </w:tcPr>
          <w:p w14:paraId="107ABBCF"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w:t>
            </w:r>
          </w:p>
        </w:tc>
      </w:tr>
      <w:tr w:rsidR="00FE777E" w14:paraId="51175E9B" w14:textId="77777777">
        <w:tc>
          <w:tcPr>
            <w:tcW w:w="2263" w:type="dxa"/>
          </w:tcPr>
          <w:p w14:paraId="07405AFB" w14:textId="77777777" w:rsidR="00FE777E" w:rsidRDefault="00627A08">
            <w:pPr>
              <w:pStyle w:val="aa"/>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利率收益计息期</w:t>
            </w:r>
          </w:p>
        </w:tc>
        <w:tc>
          <w:tcPr>
            <w:tcW w:w="6033" w:type="dxa"/>
          </w:tcPr>
          <w:p w14:paraId="4AEF1577"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自期初观察日（含）至期末观察日（不含）之间的自然日天数。</w:t>
            </w:r>
          </w:p>
        </w:tc>
      </w:tr>
      <w:tr w:rsidR="00FE777E" w14:paraId="78DAA349" w14:textId="77777777">
        <w:tc>
          <w:tcPr>
            <w:tcW w:w="2263" w:type="dxa"/>
          </w:tcPr>
          <w:p w14:paraId="08953B20" w14:textId="77777777" w:rsidR="00FE777E" w:rsidRDefault="00627A08">
            <w:pPr>
              <w:pStyle w:val="aa"/>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利率收益支付日</w:t>
            </w:r>
          </w:p>
        </w:tc>
        <w:tc>
          <w:tcPr>
            <w:tcW w:w="6033" w:type="dxa"/>
          </w:tcPr>
          <w:p w14:paraId="6009F3CB"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期末结算日</w:t>
            </w:r>
          </w:p>
        </w:tc>
      </w:tr>
      <w:tr w:rsidR="00FE777E" w14:paraId="3F3EF7EA" w14:textId="77777777">
        <w:tc>
          <w:tcPr>
            <w:tcW w:w="2263" w:type="dxa"/>
          </w:tcPr>
          <w:p w14:paraId="76B720FA" w14:textId="77777777" w:rsidR="00FE777E" w:rsidRDefault="00627A08">
            <w:pPr>
              <w:pStyle w:val="aa"/>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利率类型</w:t>
            </w:r>
          </w:p>
        </w:tc>
        <w:tc>
          <w:tcPr>
            <w:tcW w:w="6033" w:type="dxa"/>
          </w:tcPr>
          <w:p w14:paraId="6A790197"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FE777E" w14:paraId="649D194F" w14:textId="77777777">
        <w:tc>
          <w:tcPr>
            <w:tcW w:w="2263" w:type="dxa"/>
          </w:tcPr>
          <w:p w14:paraId="6DB9A1B9" w14:textId="77777777" w:rsidR="00FE777E" w:rsidRDefault="00627A08">
            <w:pPr>
              <w:pStyle w:val="aa"/>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参考利率（绝对）</w:t>
            </w:r>
          </w:p>
        </w:tc>
        <w:tc>
          <w:tcPr>
            <w:tcW w:w="6033" w:type="dxa"/>
          </w:tcPr>
          <w:p w14:paraId="057E2E9F" w14:textId="77777777" w:rsidR="00FE777E" w:rsidRDefault="00627A08">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（1）当利率类型为固定利率时：</w:t>
            </w:r>
          </w:p>
          <w:p w14:paraId="54CF3957" w14:textId="77777777" w:rsidR="00FE777E" w:rsidRDefault="00627A08">
            <w:pPr>
              <w:spacing w:beforeLines="50" w:before="120" w:after="0" w:line="240" w:lineRule="auto"/>
              <w:jc w:val="both"/>
              <w:rPr>
                <w:rFonts w:ascii="楷体" w:eastAsia="楷体" w:hAnsi="楷体" w:cs="楷体"/>
                <w:bCs/>
                <w:sz w:val="24"/>
                <w:szCs w:val="20"/>
              </w:rPr>
            </w:pPr>
            <w:r>
              <w:rPr>
                <w:rFonts w:ascii="楷体" w:eastAsia="楷体" w:hAnsi="楷体" w:cs="楷体" w:hint="eastAsia"/>
                <w:sz w:val="24"/>
                <w:szCs w:val="24"/>
              </w:rPr>
              <w:t xml:space="preserve">参考利率（绝对） = 固定利率 </w:t>
            </w:r>
            <m:oMath>
              <m:r>
                <m:rPr>
                  <m:sty m:val="p"/>
                </m:rPr>
                <w:rPr>
                  <w:rFonts w:ascii="Cambria Math" w:eastAsia="楷体" w:hAnsi="Cambria Math" w:cs="楷体" w:hint="eastAsia"/>
                  <w:sz w:val="24"/>
                  <w:szCs w:val="20"/>
                </w:rPr>
                <m:t>×</m:t>
              </m:r>
            </m:oMath>
            <w:r>
              <w:rPr>
                <w:rFonts w:ascii="楷体" w:eastAsia="楷体" w:hAnsi="楷体" w:cs="楷体" w:hint="eastAsia"/>
                <w:bCs/>
                <w:sz w:val="24"/>
                <w:szCs w:val="20"/>
              </w:rPr>
              <w:t xml:space="preserve"> </w:t>
            </w:r>
            <w:r>
              <w:rPr>
                <w:rFonts w:ascii="楷体" w:eastAsia="楷体" w:hAnsi="楷体" w:cs="楷体" w:hint="eastAsia"/>
                <w:sz w:val="24"/>
                <w:szCs w:val="24"/>
              </w:rPr>
              <w:t>利率收益计息期 / 365</w:t>
            </w:r>
          </w:p>
          <w:p w14:paraId="2CD7A58F" w14:textId="77777777" w:rsidR="00FE777E" w:rsidRDefault="00627A08">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（2）当利率类型为浮动利率时：</w:t>
            </w:r>
          </w:p>
          <w:p w14:paraId="67F72874" w14:textId="77777777" w:rsidR="00FE777E" w:rsidRDefault="00627A08">
            <w:pPr>
              <w:adjustRightInd w:val="0"/>
              <w:snapToGrid w:val="0"/>
              <w:spacing w:line="240" w:lineRule="auto"/>
              <w:ind w:firstLine="480"/>
              <w:rPr>
                <w:rFonts w:ascii="楷体" w:eastAsia="楷体" w:hAnsi="楷体" w:cs="楷体"/>
                <w:color w:val="000000"/>
                <w:szCs w:val="20"/>
              </w:rPr>
            </w:pPr>
            <m:oMathPara>
              <m:oMath>
                <m:r>
                  <m:rPr>
                    <m:sty m:val="p"/>
                  </m:rPr>
                  <w:rPr>
                    <w:rFonts w:ascii="Cambria Math" w:eastAsia="楷体" w:hAnsi="Cambria Math" w:cs="楷体" w:hint="eastAsia"/>
                    <w:sz w:val="24"/>
                    <w:szCs w:val="20"/>
                  </w:rPr>
                  <m:t>参考利率（绝对）</m:t>
                </m:r>
                <m:r>
                  <m:rPr>
                    <m:sty m:val="p"/>
                  </m:rPr>
                  <w:rPr>
                    <w:rFonts w:ascii="Cambria Math" w:eastAsia="楷体" w:hAnsi="Cambria Math" w:cs="楷体" w:hint="eastAsia"/>
                    <w:color w:val="000000"/>
                    <w:szCs w:val="20"/>
                  </w:rPr>
                  <m:t>=</m:t>
                </m:r>
                <m:nary>
                  <m:naryPr>
                    <m:chr m:val="∏"/>
                    <m:limLoc m:val="undOvr"/>
                    <m:ctrlPr>
                      <w:rPr>
                        <w:rFonts w:ascii="Cambria Math" w:eastAsia="楷体" w:hAnsi="Cambria Math" w:cs="楷体" w:hint="eastAsia"/>
                        <w:color w:val="000000"/>
                        <w:szCs w:val="20"/>
                      </w:rPr>
                    </m:ctrlPr>
                  </m:naryPr>
                  <m:sub>
                    <m:r>
                      <m:rPr>
                        <m:sty m:val="p"/>
                      </m:rPr>
                      <w:rPr>
                        <w:rFonts w:ascii="Cambria Math" w:eastAsia="楷体" w:hAnsi="Cambria Math" w:cs="楷体" w:hint="eastAsia"/>
                        <w:color w:val="000000"/>
                        <w:szCs w:val="20"/>
                      </w:rPr>
                      <m:t>i=1</m:t>
                    </m:r>
                  </m:sub>
                  <m:sup>
                    <m:r>
                      <m:rPr>
                        <m:sty m:val="p"/>
                      </m:rPr>
                      <w:rPr>
                        <w:rFonts w:ascii="Cambria Math" w:eastAsia="楷体" w:hAnsi="Cambria Math" w:cs="楷体" w:hint="eastAsia"/>
                        <w:color w:val="000000"/>
                        <w:szCs w:val="20"/>
                      </w:rPr>
                      <m:t>k</m:t>
                    </m:r>
                  </m:sup>
                  <m:e>
                    <m:d>
                      <m:dPr>
                        <m:begChr m:val="["/>
                        <m:endChr m:val="]"/>
                        <m:ctrlPr>
                          <w:rPr>
                            <w:rFonts w:ascii="Cambria Math" w:eastAsia="楷体" w:hAnsi="Cambria Math" w:cs="楷体" w:hint="eastAsia"/>
                            <w:color w:val="000000"/>
                            <w:szCs w:val="20"/>
                          </w:rPr>
                        </m:ctrlPr>
                      </m:dPr>
                      <m:e>
                        <m:r>
                          <m:rPr>
                            <m:sty m:val="p"/>
                          </m:rPr>
                          <w:rPr>
                            <w:rFonts w:ascii="Cambria Math" w:eastAsia="楷体" w:hAnsi="Cambria Math" w:cs="楷体" w:hint="eastAsia"/>
                            <w:color w:val="000000"/>
                            <w:szCs w:val="20"/>
                          </w:rPr>
                          <m:t>1+</m:t>
                        </m:r>
                        <m:sSub>
                          <m:sSubPr>
                            <m:ctrlPr>
                              <w:rPr>
                                <w:rFonts w:ascii="Cambria Math" w:eastAsia="楷体" w:hAnsi="Cambria Math" w:cs="楷体" w:hint="eastAsia"/>
                                <w:color w:val="000000"/>
                                <w:szCs w:val="20"/>
                              </w:rPr>
                            </m:ctrlPr>
                          </m:sSubPr>
                          <m:e>
                            <m:r>
                              <m:rPr>
                                <m:sty m:val="p"/>
                              </m:rPr>
                              <w:rPr>
                                <w:rFonts w:ascii="Cambria Math" w:eastAsia="楷体" w:hAnsi="Cambria Math" w:cs="楷体" w:hint="eastAsia"/>
                                <w:color w:val="000000"/>
                                <w:szCs w:val="20"/>
                              </w:rPr>
                              <m:t>（</m:t>
                            </m:r>
                            <m:r>
                              <m:rPr>
                                <m:sty m:val="p"/>
                              </m:rPr>
                              <w:rPr>
                                <w:rFonts w:ascii="Cambria Math" w:eastAsia="楷体" w:hAnsi="Cambria Math" w:cs="楷体" w:hint="eastAsia"/>
                                <w:color w:val="000000"/>
                                <w:szCs w:val="20"/>
                              </w:rPr>
                              <m:t>FR007</m:t>
                            </m:r>
                          </m:e>
                          <m:sub>
                            <m:r>
                              <m:rPr>
                                <m:sty m:val="p"/>
                              </m:rPr>
                              <w:rPr>
                                <w:rFonts w:ascii="Cambria Math" w:eastAsia="楷体" w:hAnsi="Cambria Math" w:cs="楷体" w:hint="eastAsia"/>
                                <w:color w:val="000000"/>
                                <w:szCs w:val="20"/>
                              </w:rPr>
                              <m:t>i</m:t>
                            </m:r>
                          </m:sub>
                        </m:sSub>
                        <m:r>
                          <m:rPr>
                            <m:sty m:val="p"/>
                          </m:rPr>
                          <w:rPr>
                            <w:rFonts w:ascii="Cambria Math" w:eastAsia="楷体" w:hAnsi="Cambria Math" w:cs="楷体" w:hint="eastAsia"/>
                            <w:szCs w:val="20"/>
                          </w:rPr>
                          <m:t>+</m:t>
                        </m:r>
                        <m:r>
                          <m:rPr>
                            <m:sty m:val="p"/>
                          </m:rPr>
                          <w:rPr>
                            <w:rFonts w:ascii="Cambria Math" w:eastAsia="楷体" w:hAnsi="Cambria Math" w:cs="楷体" w:hint="eastAsia"/>
                            <w:sz w:val="24"/>
                            <w:szCs w:val="20"/>
                          </w:rPr>
                          <m:t>利差</m:t>
                        </m:r>
                        <m:r>
                          <m:rPr>
                            <m:sty m:val="p"/>
                          </m:rPr>
                          <w:rPr>
                            <w:rFonts w:ascii="Cambria Math" w:eastAsia="楷体" w:hAnsi="Cambria Math" w:cs="楷体" w:hint="eastAsia"/>
                            <w:szCs w:val="20"/>
                          </w:rPr>
                          <m:t>）</m:t>
                        </m:r>
                        <m:r>
                          <m:rPr>
                            <m:sty m:val="p"/>
                          </m:rPr>
                          <w:rPr>
                            <w:rFonts w:ascii="Cambria Math" w:eastAsia="楷体" w:hAnsi="Cambria Math" w:cs="楷体" w:hint="eastAsia"/>
                            <w:color w:val="000000"/>
                            <w:szCs w:val="20"/>
                          </w:rPr>
                          <m:t>×</m:t>
                        </m:r>
                        <m:f>
                          <m:fPr>
                            <m:ctrlPr>
                              <w:rPr>
                                <w:rFonts w:ascii="Cambria Math" w:eastAsia="楷体" w:hAnsi="Cambria Math" w:cs="楷体" w:hint="eastAsia"/>
                                <w:color w:val="000000"/>
                                <w:szCs w:val="20"/>
                              </w:rPr>
                            </m:ctrlPr>
                          </m:fPr>
                          <m:num>
                            <m:sSub>
                              <m:sSubPr>
                                <m:ctrlPr>
                                  <w:rPr>
                                    <w:rFonts w:ascii="Cambria Math" w:eastAsia="楷体" w:hAnsi="Cambria Math" w:cs="楷体" w:hint="eastAsia"/>
                                    <w:color w:val="000000"/>
                                    <w:szCs w:val="20"/>
                                  </w:rPr>
                                </m:ctrlPr>
                              </m:sSubPr>
                              <m:e>
                                <m:r>
                                  <m:rPr>
                                    <m:sty m:val="p"/>
                                  </m:rPr>
                                  <w:rPr>
                                    <w:rFonts w:ascii="Cambria Math" w:eastAsia="楷体" w:hAnsi="Cambria Math" w:cs="楷体" w:hint="eastAsia"/>
                                    <w:color w:val="000000"/>
                                    <w:szCs w:val="20"/>
                                  </w:rPr>
                                  <m:t>d</m:t>
                                </m:r>
                              </m:e>
                              <m:sub>
                                <m:r>
                                  <m:rPr>
                                    <m:sty m:val="p"/>
                                  </m:rPr>
                                  <w:rPr>
                                    <w:rFonts w:ascii="Cambria Math" w:eastAsia="楷体" w:hAnsi="Cambria Math" w:cs="楷体" w:hint="eastAsia"/>
                                    <w:color w:val="000000"/>
                                    <w:szCs w:val="20"/>
                                  </w:rPr>
                                  <m:t>i</m:t>
                                </m:r>
                              </m:sub>
                            </m:sSub>
                          </m:num>
                          <m:den>
                            <m:r>
                              <m:rPr>
                                <m:sty m:val="p"/>
                              </m:rPr>
                              <w:rPr>
                                <w:rFonts w:ascii="Cambria Math" w:eastAsia="楷体" w:hAnsi="Cambria Math" w:cs="楷体" w:hint="eastAsia"/>
                                <w:color w:val="000000"/>
                                <w:szCs w:val="20"/>
                              </w:rPr>
                              <m:t>365</m:t>
                            </m:r>
                          </m:den>
                        </m:f>
                      </m:e>
                    </m:d>
                    <m:r>
                      <m:rPr>
                        <m:sty m:val="p"/>
                      </m:rPr>
                      <w:rPr>
                        <w:rFonts w:ascii="Cambria Math" w:eastAsia="楷体" w:hAnsi="Cambria Math" w:cs="楷体" w:hint="eastAsia"/>
                        <w:color w:val="000000"/>
                        <w:szCs w:val="20"/>
                      </w:rPr>
                      <m:t>-</m:t>
                    </m:r>
                    <m:r>
                      <m:rPr>
                        <m:sty m:val="p"/>
                      </m:rPr>
                      <w:rPr>
                        <w:rFonts w:ascii="Cambria Math" w:eastAsia="楷体" w:hAnsi="Cambria Math" w:cs="楷体" w:hint="eastAsia"/>
                        <w:color w:val="000000"/>
                        <w:szCs w:val="20"/>
                      </w:rPr>
                      <m:t>1</m:t>
                    </m:r>
                  </m:e>
                </m:nary>
              </m:oMath>
            </m:oMathPara>
          </w:p>
          <w:p w14:paraId="0FD7CB40" w14:textId="77777777" w:rsidR="00FE777E" w:rsidRDefault="00627A08">
            <w:pPr>
              <w:spacing w:line="240" w:lineRule="auto"/>
              <w:rPr>
                <w:rFonts w:ascii="楷体" w:eastAsia="楷体" w:hAnsi="楷体" w:cs="楷体"/>
                <w:bCs/>
                <w:sz w:val="24"/>
                <w:szCs w:val="20"/>
              </w:rPr>
            </w:pPr>
            <w:r>
              <w:rPr>
                <w:rFonts w:ascii="楷体" w:eastAsia="楷体" w:hAnsi="楷体" w:cs="楷体" w:hint="eastAsia"/>
                <w:bCs/>
                <w:sz w:val="24"/>
                <w:szCs w:val="20"/>
              </w:rPr>
              <w:t>每个重置期首日（即重置日）的【上一个营业日】为该重置期的利率确定日，在该利率确定日的FR007为该重置期适用的FR007。FR007i表示计息期第i个重置期所适用的FR007，FR007i根据中国货币网（www.chinamoney.com.cn）每日公布的FR007利率值计算，计息基准为A/365，营业日准则为上一营业日；k表示计息期包含重置期个数；di表示计息期的第i个基准利率FR007i适用于di个日历日，对于一个完整的重置期，</w:t>
            </w:r>
            <m:oMath>
              <m:sSub>
                <m:sSubPr>
                  <m:ctrlPr>
                    <w:rPr>
                      <w:rFonts w:ascii="Cambria Math" w:eastAsia="楷体" w:hAnsi="Cambria Math" w:cs="楷体" w:hint="eastAsia"/>
                      <w:color w:val="000000"/>
                      <w:szCs w:val="20"/>
                    </w:rPr>
                  </m:ctrlPr>
                </m:sSubPr>
                <m:e>
                  <m:r>
                    <m:rPr>
                      <m:sty m:val="p"/>
                    </m:rPr>
                    <w:rPr>
                      <w:rFonts w:ascii="Cambria Math" w:eastAsia="楷体" w:hAnsi="Cambria Math" w:cs="楷体" w:hint="eastAsia"/>
                      <w:color w:val="000000"/>
                      <w:szCs w:val="20"/>
                    </w:rPr>
                    <m:t>d</m:t>
                  </m:r>
                </m:e>
                <m:sub>
                  <m:r>
                    <m:rPr>
                      <m:sty m:val="p"/>
                    </m:rPr>
                    <w:rPr>
                      <w:rFonts w:ascii="Cambria Math" w:eastAsia="楷体" w:hAnsi="Cambria Math" w:cs="楷体" w:hint="eastAsia"/>
                      <w:color w:val="000000"/>
                      <w:szCs w:val="20"/>
                    </w:rPr>
                    <m:t>i</m:t>
                  </m:r>
                </m:sub>
              </m:sSub>
            </m:oMath>
            <w:r>
              <w:rPr>
                <w:rFonts w:ascii="楷体" w:eastAsia="楷体" w:hAnsi="楷体" w:cs="楷体" w:hint="eastAsia"/>
                <w:bCs/>
                <w:sz w:val="24"/>
                <w:szCs w:val="20"/>
              </w:rPr>
              <w:t>为7天。</w:t>
            </w:r>
          </w:p>
        </w:tc>
      </w:tr>
      <w:tr w:rsidR="00FE777E" w14:paraId="6726E67B" w14:textId="77777777">
        <w:tc>
          <w:tcPr>
            <w:tcW w:w="2263" w:type="dxa"/>
          </w:tcPr>
          <w:p w14:paraId="79E0DB57" w14:textId="77777777" w:rsidR="00FE777E" w:rsidRDefault="00627A08">
            <w:pPr>
              <w:pStyle w:val="aa"/>
              <w:numPr>
                <w:ilvl w:val="0"/>
                <w:numId w:val="4"/>
              </w:numPr>
              <w:spacing w:beforeLines="50" w:before="120" w:after="0" w:line="240" w:lineRule="auto"/>
              <w:rPr>
                <w:rFonts w:ascii="楷体" w:eastAsia="楷体" w:hAnsi="楷体" w:cs="楷体"/>
                <w:sz w:val="24"/>
                <w:szCs w:val="24"/>
              </w:rPr>
            </w:pPr>
            <w:bookmarkStart w:id="1" w:name="OLE_LINK8"/>
            <w:r>
              <w:rPr>
                <w:rFonts w:ascii="楷体" w:eastAsia="楷体" w:hAnsi="楷体" w:cs="楷体" w:hint="eastAsia"/>
                <w:sz w:val="24"/>
                <w:szCs w:val="24"/>
              </w:rPr>
              <w:t>利差</w:t>
            </w:r>
            <w:bookmarkEnd w:id="1"/>
            <w:r>
              <w:rPr>
                <w:rFonts w:ascii="楷体" w:eastAsia="楷体" w:hAnsi="楷体" w:cs="楷体" w:hint="eastAsia"/>
                <w:bCs/>
                <w:sz w:val="24"/>
                <w:szCs w:val="20"/>
              </w:rPr>
              <w:t>（仅适用于利率类型为浮动利率的情景）</w:t>
            </w:r>
          </w:p>
        </w:tc>
        <w:tc>
          <w:tcPr>
            <w:tcW w:w="6033" w:type="dxa"/>
          </w:tcPr>
          <w:p w14:paraId="424B8B2C"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FE777E" w14:paraId="60DA8BBD" w14:textId="77777777">
        <w:tc>
          <w:tcPr>
            <w:tcW w:w="2263" w:type="dxa"/>
          </w:tcPr>
          <w:p w14:paraId="5A64F22B" w14:textId="77777777" w:rsidR="00FE777E" w:rsidRDefault="00627A08">
            <w:pPr>
              <w:pStyle w:val="aa"/>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计息基准</w:t>
            </w:r>
          </w:p>
        </w:tc>
        <w:tc>
          <w:tcPr>
            <w:tcW w:w="6033" w:type="dxa"/>
          </w:tcPr>
          <w:p w14:paraId="6DAB54A1"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A/365</w:t>
            </w:r>
          </w:p>
        </w:tc>
      </w:tr>
      <w:tr w:rsidR="00FE777E" w14:paraId="27483B52" w14:textId="77777777">
        <w:tc>
          <w:tcPr>
            <w:tcW w:w="2263" w:type="dxa"/>
          </w:tcPr>
          <w:p w14:paraId="3B2FB730" w14:textId="77777777" w:rsidR="00FE777E" w:rsidRDefault="00627A08">
            <w:pPr>
              <w:pStyle w:val="aa"/>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重置日</w:t>
            </w:r>
            <w:r>
              <w:rPr>
                <w:rFonts w:ascii="楷体" w:eastAsia="楷体" w:hAnsi="楷体" w:cs="楷体" w:hint="eastAsia"/>
                <w:bCs/>
                <w:sz w:val="24"/>
                <w:szCs w:val="20"/>
              </w:rPr>
              <w:t>（仅适用于利率类型为浮动利率的情景）</w:t>
            </w:r>
          </w:p>
        </w:tc>
        <w:tc>
          <w:tcPr>
            <w:tcW w:w="6033" w:type="dxa"/>
          </w:tcPr>
          <w:p w14:paraId="30938B00"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重置日从利率收益计息期首日按重置频率依次推算。</w:t>
            </w:r>
          </w:p>
        </w:tc>
      </w:tr>
      <w:tr w:rsidR="00FE777E" w14:paraId="59C07FE8" w14:textId="77777777">
        <w:tc>
          <w:tcPr>
            <w:tcW w:w="2263" w:type="dxa"/>
          </w:tcPr>
          <w:p w14:paraId="191874BC" w14:textId="77777777" w:rsidR="00FE777E" w:rsidRDefault="00627A08">
            <w:pPr>
              <w:pStyle w:val="aa"/>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重置期（仅适用于利率类型为浮动利率的情景）</w:t>
            </w:r>
          </w:p>
        </w:tc>
        <w:tc>
          <w:tcPr>
            <w:tcW w:w="6033" w:type="dxa"/>
          </w:tcPr>
          <w:p w14:paraId="5A430FC3" w14:textId="77777777" w:rsidR="00FE777E" w:rsidRDefault="00627A08">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每个重置期应自上一重置日（含）至下一重置日（不含），首个重置期始于利率收益计息期的首日（即起始日），最后一个重置期的最后一日为利率收益计息期的最后一日。</w:t>
            </w:r>
          </w:p>
        </w:tc>
      </w:tr>
      <w:tr w:rsidR="00FE777E" w14:paraId="57D5A862" w14:textId="77777777">
        <w:tc>
          <w:tcPr>
            <w:tcW w:w="2263" w:type="dxa"/>
          </w:tcPr>
          <w:p w14:paraId="48F7DFD7" w14:textId="77777777" w:rsidR="00FE777E" w:rsidRDefault="00627A08">
            <w:pPr>
              <w:pStyle w:val="aa"/>
              <w:numPr>
                <w:ilvl w:val="0"/>
                <w:numId w:val="4"/>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重置频率（仅适用于利率类型为浮动利率的情景）</w:t>
            </w:r>
          </w:p>
        </w:tc>
        <w:tc>
          <w:tcPr>
            <w:tcW w:w="6033" w:type="dxa"/>
          </w:tcPr>
          <w:p w14:paraId="68531EE8" w14:textId="77777777" w:rsidR="00FE777E" w:rsidRDefault="00627A08">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每【周】。</w:t>
            </w:r>
          </w:p>
        </w:tc>
      </w:tr>
      <w:tr w:rsidR="00FE777E" w14:paraId="7265AA58" w14:textId="77777777">
        <w:tc>
          <w:tcPr>
            <w:tcW w:w="2263" w:type="dxa"/>
          </w:tcPr>
          <w:p w14:paraId="3AA9AC57" w14:textId="77777777" w:rsidR="00FE777E" w:rsidRDefault="00627A08">
            <w:pPr>
              <w:pStyle w:val="aa"/>
              <w:numPr>
                <w:ilvl w:val="0"/>
                <w:numId w:val="4"/>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基本费率</w:t>
            </w:r>
          </w:p>
        </w:tc>
        <w:tc>
          <w:tcPr>
            <w:tcW w:w="6033" w:type="dxa"/>
          </w:tcPr>
          <w:p w14:paraId="1A455F4C" w14:textId="77777777" w:rsidR="00FE777E" w:rsidRDefault="00627A08">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见附件一</w:t>
            </w:r>
          </w:p>
        </w:tc>
      </w:tr>
      <w:tr w:rsidR="00FE777E" w14:paraId="465F49E7" w14:textId="77777777">
        <w:tc>
          <w:tcPr>
            <w:tcW w:w="2263" w:type="dxa"/>
          </w:tcPr>
          <w:p w14:paraId="4144D39A" w14:textId="77777777" w:rsidR="00FE777E" w:rsidRDefault="00627A08">
            <w:pPr>
              <w:pStyle w:val="aa"/>
              <w:numPr>
                <w:ilvl w:val="0"/>
                <w:numId w:val="4"/>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基本费率支付方</w:t>
            </w:r>
          </w:p>
        </w:tc>
        <w:tc>
          <w:tcPr>
            <w:tcW w:w="6033" w:type="dxa"/>
          </w:tcPr>
          <w:p w14:paraId="08768880" w14:textId="77777777" w:rsidR="00FE777E" w:rsidRDefault="00627A08">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乙方</w:t>
            </w:r>
          </w:p>
        </w:tc>
      </w:tr>
      <w:tr w:rsidR="00FE777E" w14:paraId="5596AD47" w14:textId="77777777">
        <w:tc>
          <w:tcPr>
            <w:tcW w:w="2263" w:type="dxa"/>
          </w:tcPr>
          <w:p w14:paraId="50A2ED9F" w14:textId="77777777" w:rsidR="00FE777E" w:rsidRDefault="00627A08">
            <w:pPr>
              <w:pStyle w:val="aa"/>
              <w:numPr>
                <w:ilvl w:val="0"/>
                <w:numId w:val="4"/>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lastRenderedPageBreak/>
              <w:t>利率收益金额</w:t>
            </w:r>
          </w:p>
        </w:tc>
        <w:tc>
          <w:tcPr>
            <w:tcW w:w="6033" w:type="dxa"/>
          </w:tcPr>
          <w:p w14:paraId="1582CA46" w14:textId="77777777" w:rsidR="00FE777E" w:rsidRDefault="00627A08">
            <w:pPr>
              <w:spacing w:line="240" w:lineRule="auto"/>
              <w:rPr>
                <w:rFonts w:ascii="楷体" w:eastAsia="楷体" w:hAnsi="楷体" w:cs="楷体"/>
                <w:bCs/>
                <w:sz w:val="24"/>
                <w:szCs w:val="20"/>
              </w:rPr>
            </w:pPr>
            <w:r>
              <w:rPr>
                <w:rFonts w:ascii="楷体" w:eastAsia="楷体" w:hAnsi="楷体" w:cs="楷体" w:hint="eastAsia"/>
                <w:bCs/>
                <w:sz w:val="24"/>
                <w:szCs w:val="20"/>
              </w:rPr>
              <w:t>利率收益金额</w:t>
            </w:r>
            <w:r>
              <w:rPr>
                <w:rFonts w:ascii="楷体" w:eastAsia="楷体" w:hAnsi="楷体" w:cs="楷体" w:hint="eastAsia"/>
                <w:sz w:val="24"/>
                <w:szCs w:val="20"/>
              </w:rPr>
              <w:t>=参考标的名义份额×参考标的期初价格×</w:t>
            </w:r>
            <w:r>
              <w:rPr>
                <w:rFonts w:ascii="楷体" w:eastAsia="楷体" w:hAnsi="楷体" w:cs="楷体" w:hint="eastAsia"/>
                <w:bCs/>
                <w:sz w:val="24"/>
                <w:szCs w:val="20"/>
              </w:rPr>
              <w:t>参考利率（绝对）+</w:t>
            </w:r>
            <w:r>
              <w:rPr>
                <w:rFonts w:ascii="楷体" w:eastAsia="楷体" w:hAnsi="楷体" w:cs="楷体" w:hint="eastAsia"/>
                <w:sz w:val="24"/>
                <w:szCs w:val="20"/>
              </w:rPr>
              <w:t>参考标的名义份额×参考标的期初价格×</w:t>
            </w:r>
            <w:r>
              <w:rPr>
                <w:rFonts w:ascii="楷体" w:eastAsia="楷体" w:hAnsi="楷体" w:cs="楷体" w:hint="eastAsia"/>
                <w:bCs/>
                <w:sz w:val="24"/>
                <w:szCs w:val="20"/>
              </w:rPr>
              <w:t>基本费率</w:t>
            </w:r>
            <w:r>
              <w:rPr>
                <w:rFonts w:ascii="楷体" w:eastAsia="楷体" w:hAnsi="楷体" w:cs="楷体" w:hint="eastAsia"/>
                <w:sz w:val="24"/>
                <w:szCs w:val="20"/>
              </w:rPr>
              <w:t>，四舍五入精确到小数点后2位。</w:t>
            </w:r>
          </w:p>
        </w:tc>
      </w:tr>
      <w:tr w:rsidR="00FE777E" w14:paraId="776CC68A" w14:textId="77777777">
        <w:tc>
          <w:tcPr>
            <w:tcW w:w="8296" w:type="dxa"/>
            <w:gridSpan w:val="2"/>
            <w:shd w:val="clear" w:color="auto" w:fill="D9D9D9" w:themeFill="background1" w:themeFillShade="D9"/>
          </w:tcPr>
          <w:p w14:paraId="1082726F" w14:textId="77777777" w:rsidR="00FE777E" w:rsidRDefault="00627A08">
            <w:pPr>
              <w:pStyle w:val="aa"/>
              <w:numPr>
                <w:ilvl w:val="0"/>
                <w:numId w:val="1"/>
              </w:numPr>
              <w:spacing w:beforeLines="50" w:before="120" w:after="0" w:line="240" w:lineRule="auto"/>
              <w:rPr>
                <w:rFonts w:ascii="楷体" w:eastAsia="楷体" w:hAnsi="楷体" w:cs="楷体"/>
                <w:b/>
                <w:bCs/>
                <w:sz w:val="24"/>
                <w:szCs w:val="24"/>
              </w:rPr>
            </w:pPr>
            <w:r>
              <w:rPr>
                <w:rFonts w:ascii="楷体" w:eastAsia="楷体" w:hAnsi="楷体" w:cs="楷体" w:hint="eastAsia"/>
                <w:b/>
                <w:bCs/>
                <w:sz w:val="24"/>
                <w:szCs w:val="24"/>
              </w:rPr>
              <w:t>履约保障条款</w:t>
            </w:r>
          </w:p>
        </w:tc>
      </w:tr>
      <w:tr w:rsidR="00FE777E" w14:paraId="0D92F108" w14:textId="77777777">
        <w:tc>
          <w:tcPr>
            <w:tcW w:w="2263" w:type="dxa"/>
          </w:tcPr>
          <w:p w14:paraId="2309A182" w14:textId="77777777" w:rsidR="00FE777E" w:rsidRDefault="00627A08">
            <w:pPr>
              <w:pStyle w:val="aa"/>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追保事件</w:t>
            </w:r>
          </w:p>
        </w:tc>
        <w:tc>
          <w:tcPr>
            <w:tcW w:w="6033" w:type="dxa"/>
          </w:tcPr>
          <w:p w14:paraId="4385B7FE"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事件指，在任何一个营业日，计算机构以诚实信用及商业合理原则认定，标的证券的收盘价在任何一个营业日处于任一“触发追加价格区间”内，且在追保事件发生日实际存续追加预付金小于当前触发追加价格区间对应的合计追加预付金金额。</w:t>
            </w:r>
          </w:p>
          <w:tbl>
            <w:tblPr>
              <w:tblStyle w:val="a9"/>
              <w:tblW w:w="0" w:type="auto"/>
              <w:tblLook w:val="04A0" w:firstRow="1" w:lastRow="0" w:firstColumn="1" w:lastColumn="0" w:noHBand="0" w:noVBand="1"/>
            </w:tblPr>
            <w:tblGrid>
              <w:gridCol w:w="3436"/>
              <w:gridCol w:w="2229"/>
            </w:tblGrid>
            <w:tr w:rsidR="00FE777E" w14:paraId="282D9772" w14:textId="77777777">
              <w:tc>
                <w:tcPr>
                  <w:tcW w:w="3436" w:type="dxa"/>
                </w:tcPr>
                <w:p w14:paraId="7BF054DA" w14:textId="77777777" w:rsidR="00FE777E" w:rsidRDefault="00627A08">
                  <w:pPr>
                    <w:spacing w:beforeLines="50" w:before="120" w:after="0" w:line="240" w:lineRule="auto"/>
                    <w:jc w:val="center"/>
                    <w:rPr>
                      <w:rFonts w:ascii="楷体" w:eastAsia="楷体" w:hAnsi="楷体" w:cs="楷体"/>
                      <w:b/>
                      <w:sz w:val="24"/>
                      <w:szCs w:val="24"/>
                    </w:rPr>
                  </w:pPr>
                  <w:r>
                    <w:rPr>
                      <w:rFonts w:ascii="楷体" w:eastAsia="楷体" w:hAnsi="楷体" w:cs="楷体" w:hint="eastAsia"/>
                      <w:b/>
                      <w:sz w:val="24"/>
                      <w:szCs w:val="24"/>
                    </w:rPr>
                    <w:t>追保价格区间</w:t>
                  </w:r>
                </w:p>
              </w:tc>
              <w:tc>
                <w:tcPr>
                  <w:tcW w:w="2229" w:type="dxa"/>
                </w:tcPr>
                <w:p w14:paraId="4DF41745" w14:textId="77777777" w:rsidR="00FE777E" w:rsidRDefault="00627A08">
                  <w:pPr>
                    <w:spacing w:beforeLines="50" w:before="120" w:after="0" w:line="240" w:lineRule="auto"/>
                    <w:jc w:val="center"/>
                    <w:rPr>
                      <w:rFonts w:ascii="楷体" w:eastAsia="楷体" w:hAnsi="楷体" w:cs="楷体"/>
                      <w:b/>
                      <w:sz w:val="24"/>
                      <w:szCs w:val="24"/>
                    </w:rPr>
                  </w:pPr>
                  <w:r>
                    <w:rPr>
                      <w:rFonts w:ascii="楷体" w:eastAsia="楷体" w:hAnsi="楷体" w:cs="楷体" w:hint="eastAsia"/>
                      <w:b/>
                      <w:sz w:val="24"/>
                      <w:szCs w:val="24"/>
                    </w:rPr>
                    <w:t>合计追保金额</w:t>
                  </w:r>
                </w:p>
              </w:tc>
            </w:tr>
            <w:tr w:rsidR="00FE777E" w14:paraId="607E766E" w14:textId="77777777">
              <w:tc>
                <w:tcPr>
                  <w:tcW w:w="3436" w:type="dxa"/>
                </w:tcPr>
                <w:p w14:paraId="7817C109"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【{{追保区间0下限}}】% ×参考标的期初净价≤参考标的当前净价</w:t>
                  </w:r>
                </w:p>
              </w:tc>
              <w:tc>
                <w:tcPr>
                  <w:tcW w:w="2229" w:type="dxa"/>
                </w:tcPr>
                <w:p w14:paraId="42556131" w14:textId="52A88281"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w:t>
                  </w:r>
                  <w:r w:rsidR="0043739E">
                    <w:rPr>
                      <w:rFonts w:ascii="楷体" w:eastAsia="楷体" w:hAnsi="楷体" w:cs="楷体" w:hint="eastAsia"/>
                      <w:sz w:val="24"/>
                      <w:szCs w:val="24"/>
                    </w:rPr>
                    <w:t>{{追保金额比例</w:t>
                  </w:r>
                  <w:r w:rsidR="0043739E">
                    <w:rPr>
                      <w:rFonts w:ascii="楷体" w:eastAsia="楷体" w:hAnsi="楷体" w:cs="楷体"/>
                      <w:sz w:val="24"/>
                      <w:szCs w:val="24"/>
                    </w:rPr>
                    <w:t>0</w:t>
                  </w:r>
                  <w:r w:rsidR="0043739E">
                    <w:rPr>
                      <w:rFonts w:ascii="楷体" w:eastAsia="楷体" w:hAnsi="楷体" w:cs="楷体" w:hint="eastAsia"/>
                      <w:sz w:val="24"/>
                      <w:szCs w:val="24"/>
                    </w:rPr>
                    <w:t>}}</w:t>
                  </w:r>
                  <w:r>
                    <w:rPr>
                      <w:rFonts w:ascii="楷体" w:eastAsia="楷体" w:hAnsi="楷体" w:cs="楷体" w:hint="eastAsia"/>
                      <w:sz w:val="24"/>
                      <w:szCs w:val="20"/>
                    </w:rPr>
                    <w:t>】%×参考标的期初全价×参考标的券面总额</w:t>
                  </w:r>
                </w:p>
              </w:tc>
            </w:tr>
            <w:tr w:rsidR="00FE777E" w14:paraId="374219F7" w14:textId="77777777">
              <w:tc>
                <w:tcPr>
                  <w:tcW w:w="3436" w:type="dxa"/>
                </w:tcPr>
                <w:p w14:paraId="6E924DCC"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【{{追保区间1下限}}】%×参考标的期初净价≤参考标的当前净价&lt;【{{追保区间1上限}}】% ×参考标的期初净价</w:t>
                  </w:r>
                </w:p>
              </w:tc>
              <w:tc>
                <w:tcPr>
                  <w:tcW w:w="2229" w:type="dxa"/>
                </w:tcPr>
                <w:p w14:paraId="7DBF8444"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【{{追保金额比例1}}】%×参考标的期初全价×参考标的券面总额</w:t>
                  </w:r>
                </w:p>
              </w:tc>
            </w:tr>
            <w:tr w:rsidR="00FE777E" w14:paraId="6F45E06A" w14:textId="77777777">
              <w:tc>
                <w:tcPr>
                  <w:tcW w:w="3436" w:type="dxa"/>
                </w:tcPr>
                <w:p w14:paraId="7DEAFCE8"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【{{追保区间2下限}}】%×参考标的期初净价≤参考标的当前净价&lt;【{{追保区间2上限}}】%×参考标的期初净价</w:t>
                  </w:r>
                </w:p>
              </w:tc>
              <w:tc>
                <w:tcPr>
                  <w:tcW w:w="2229" w:type="dxa"/>
                </w:tcPr>
                <w:p w14:paraId="3AF54ADD"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【{{追保金额比例2}}】% ×参考标的期初全价×参考标的券面总额</w:t>
                  </w:r>
                </w:p>
              </w:tc>
            </w:tr>
            <w:tr w:rsidR="00FE777E" w14:paraId="72638EFF" w14:textId="77777777">
              <w:tc>
                <w:tcPr>
                  <w:tcW w:w="3436" w:type="dxa"/>
                </w:tcPr>
                <w:p w14:paraId="66BF446E"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【{{追保区间3下限}}】% x参考标的期初净价≤参考标的当前净价&lt;【{{追保区间3上限}}】% ×参考标的期初净</w:t>
                  </w:r>
                </w:p>
              </w:tc>
              <w:tc>
                <w:tcPr>
                  <w:tcW w:w="2229" w:type="dxa"/>
                </w:tcPr>
                <w:p w14:paraId="52B12EF7"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【{{追保金额比例3}}】% x参考标的期初全价×参考标的券面总额</w:t>
                  </w:r>
                </w:p>
              </w:tc>
            </w:tr>
          </w:tbl>
          <w:p w14:paraId="7071C199"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为避免疑义，在交易存续期间，追保事件可能发生超过一次。</w:t>
            </w:r>
          </w:p>
          <w:p w14:paraId="571CF940"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尽管有上述约定，乙方支付的任何追保金额项下的资金不应视为为甲方设定任何担保物权，甲方在本交易存续期间有权使用实际存续追保金额。</w:t>
            </w:r>
          </w:p>
        </w:tc>
      </w:tr>
      <w:tr w:rsidR="00FE777E" w14:paraId="78486FA6" w14:textId="77777777">
        <w:tc>
          <w:tcPr>
            <w:tcW w:w="2263" w:type="dxa"/>
          </w:tcPr>
          <w:p w14:paraId="59357F25" w14:textId="77777777" w:rsidR="00FE777E" w:rsidRDefault="00627A08">
            <w:pPr>
              <w:pStyle w:val="aa"/>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追保事件通知日</w:t>
            </w:r>
          </w:p>
        </w:tc>
        <w:tc>
          <w:tcPr>
            <w:tcW w:w="6033" w:type="dxa"/>
          </w:tcPr>
          <w:p w14:paraId="745B93F7" w14:textId="77777777" w:rsidR="00FE777E" w:rsidRDefault="00627A08">
            <w:pPr>
              <w:pStyle w:val="1"/>
              <w:spacing w:beforeLines="50" w:before="120" w:after="0" w:line="240" w:lineRule="auto"/>
              <w:ind w:left="0"/>
              <w:jc w:val="both"/>
              <w:rPr>
                <w:rFonts w:ascii="楷体" w:eastAsia="楷体" w:hAnsi="楷体" w:cs="楷体"/>
                <w:bCs/>
                <w:sz w:val="24"/>
                <w:szCs w:val="24"/>
              </w:rPr>
            </w:pPr>
            <w:r>
              <w:rPr>
                <w:rFonts w:ascii="楷体" w:eastAsia="楷体" w:hAnsi="楷体" w:cs="楷体" w:hint="eastAsia"/>
                <w:bCs/>
                <w:sz w:val="24"/>
                <w:szCs w:val="24"/>
              </w:rPr>
              <w:t>在追保事件</w:t>
            </w:r>
            <w:r>
              <w:rPr>
                <w:rFonts w:ascii="楷体" w:eastAsia="楷体" w:hAnsi="楷体" w:cs="楷体" w:hint="eastAsia"/>
                <w:sz w:val="24"/>
                <w:szCs w:val="24"/>
              </w:rPr>
              <w:t>发生日后的第【1】个营业日</w:t>
            </w:r>
            <w:r>
              <w:rPr>
                <w:rFonts w:ascii="楷体" w:eastAsia="楷体" w:hAnsi="楷体" w:cs="楷体" w:hint="eastAsia"/>
                <w:bCs/>
                <w:sz w:val="24"/>
                <w:szCs w:val="24"/>
              </w:rPr>
              <w:t>，计算机构将向乙方作出书面通知，明确乙方应支付的追保金额。</w:t>
            </w:r>
          </w:p>
        </w:tc>
      </w:tr>
      <w:tr w:rsidR="00FE777E" w14:paraId="4A4DCF5D" w14:textId="77777777">
        <w:tc>
          <w:tcPr>
            <w:tcW w:w="2263" w:type="dxa"/>
          </w:tcPr>
          <w:p w14:paraId="0DF03C80" w14:textId="77777777" w:rsidR="00FE777E" w:rsidRDefault="00627A08">
            <w:pPr>
              <w:pStyle w:val="aa"/>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追保支付日</w:t>
            </w:r>
          </w:p>
        </w:tc>
        <w:tc>
          <w:tcPr>
            <w:tcW w:w="6033" w:type="dxa"/>
          </w:tcPr>
          <w:p w14:paraId="544DC474" w14:textId="77777777" w:rsidR="00FE777E" w:rsidRDefault="00627A08">
            <w:pPr>
              <w:spacing w:beforeLines="50" w:before="120" w:after="0" w:line="240" w:lineRule="auto"/>
              <w:jc w:val="both"/>
              <w:rPr>
                <w:rFonts w:ascii="楷体" w:eastAsia="楷体" w:hAnsi="楷体" w:cs="楷体"/>
                <w:bCs/>
                <w:sz w:val="24"/>
                <w:szCs w:val="24"/>
              </w:rPr>
            </w:pPr>
            <w:r>
              <w:rPr>
                <w:rFonts w:ascii="楷体" w:eastAsia="楷体" w:hAnsi="楷体" w:cs="楷体" w:hint="eastAsia"/>
                <w:sz w:val="24"/>
                <w:szCs w:val="24"/>
              </w:rPr>
              <w:t>追保事件通知日</w:t>
            </w:r>
            <w:bookmarkStart w:id="2" w:name="OLE_LINK2"/>
            <w:r>
              <w:rPr>
                <w:rFonts w:ascii="楷体" w:eastAsia="楷体" w:hAnsi="楷体" w:cs="楷体" w:hint="eastAsia"/>
                <w:sz w:val="24"/>
                <w:szCs w:val="24"/>
              </w:rPr>
              <w:t>后的第【1】个营业日</w:t>
            </w:r>
            <w:bookmarkEnd w:id="2"/>
            <w:r>
              <w:rPr>
                <w:rFonts w:ascii="楷体" w:eastAsia="楷体" w:hAnsi="楷体" w:cs="楷体" w:hint="eastAsia"/>
                <w:sz w:val="24"/>
                <w:szCs w:val="24"/>
              </w:rPr>
              <w:t>。</w:t>
            </w:r>
            <w:r>
              <w:rPr>
                <w:rFonts w:ascii="楷体" w:eastAsia="楷体" w:hAnsi="楷体" w:cs="楷体" w:hint="eastAsia"/>
                <w:bCs/>
                <w:sz w:val="24"/>
                <w:szCs w:val="24"/>
              </w:rPr>
              <w:t>乙方</w:t>
            </w:r>
            <w:r>
              <w:rPr>
                <w:rFonts w:ascii="楷体" w:eastAsia="楷体" w:hAnsi="楷体" w:cs="楷体" w:hint="eastAsia"/>
                <w:sz w:val="24"/>
                <w:szCs w:val="24"/>
              </w:rPr>
              <w:t>应于追保支付日向甲方支付甲方书面通知的</w:t>
            </w:r>
            <w:r>
              <w:rPr>
                <w:rFonts w:ascii="楷体" w:eastAsia="楷体" w:hAnsi="楷体" w:cs="楷体" w:hint="eastAsia"/>
                <w:bCs/>
                <w:sz w:val="24"/>
                <w:szCs w:val="24"/>
              </w:rPr>
              <w:t>追保金额。</w:t>
            </w:r>
          </w:p>
          <w:p w14:paraId="46767AB2"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4"/>
              </w:rPr>
              <w:t>为免疑义，若乙方需要以现金方式支付的部分，计算机构将会在通知中明确。</w:t>
            </w:r>
          </w:p>
        </w:tc>
      </w:tr>
      <w:tr w:rsidR="00FE777E" w14:paraId="5BF753FF" w14:textId="77777777">
        <w:tc>
          <w:tcPr>
            <w:tcW w:w="2263" w:type="dxa"/>
          </w:tcPr>
          <w:p w14:paraId="2618EE51" w14:textId="77777777" w:rsidR="00FE777E" w:rsidRDefault="00627A08">
            <w:pPr>
              <w:pStyle w:val="aa"/>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追保金额</w:t>
            </w:r>
          </w:p>
        </w:tc>
        <w:tc>
          <w:tcPr>
            <w:tcW w:w="6033" w:type="dxa"/>
          </w:tcPr>
          <w:p w14:paraId="257B5080" w14:textId="77777777" w:rsidR="00FE777E" w:rsidRDefault="00627A08">
            <w:pPr>
              <w:spacing w:beforeLines="50" w:before="120" w:after="0" w:line="240" w:lineRule="auto"/>
              <w:jc w:val="both"/>
              <w:rPr>
                <w:rFonts w:ascii="楷体" w:eastAsia="楷体" w:hAnsi="楷体" w:cs="楷体"/>
                <w:bCs/>
                <w:sz w:val="24"/>
                <w:szCs w:val="24"/>
              </w:rPr>
            </w:pPr>
            <w:r>
              <w:rPr>
                <w:rFonts w:ascii="楷体" w:eastAsia="楷体" w:hAnsi="楷体" w:cs="楷体" w:hint="eastAsia"/>
                <w:sz w:val="24"/>
                <w:szCs w:val="24"/>
              </w:rPr>
              <w:t>就某一追保事件通知日而言,乙方应向甲方支付的</w:t>
            </w:r>
            <w:r>
              <w:rPr>
                <w:rFonts w:ascii="楷体" w:eastAsia="楷体" w:hAnsi="楷体" w:cs="楷体" w:hint="eastAsia"/>
                <w:bCs/>
                <w:sz w:val="24"/>
                <w:szCs w:val="24"/>
              </w:rPr>
              <w:t>追保金额=追保价格区间对应的合计追保金额-实际存续追保金额，</w:t>
            </w:r>
            <w:r>
              <w:rPr>
                <w:rFonts w:ascii="楷体" w:eastAsia="楷体" w:hAnsi="楷体" w:cs="楷体" w:hint="eastAsia"/>
                <w:sz w:val="24"/>
                <w:szCs w:val="24"/>
              </w:rPr>
              <w:t>四舍五入精确到小数点后2位</w:t>
            </w:r>
            <w:r>
              <w:rPr>
                <w:rFonts w:ascii="楷体" w:eastAsia="楷体" w:hAnsi="楷体" w:cs="楷体" w:hint="eastAsia"/>
                <w:bCs/>
                <w:sz w:val="24"/>
                <w:szCs w:val="24"/>
              </w:rPr>
              <w:t>。该追保金额</w:t>
            </w:r>
            <w:r>
              <w:rPr>
                <w:rFonts w:ascii="楷体" w:eastAsia="楷体" w:hAnsi="楷体" w:cs="楷体" w:hint="eastAsia"/>
                <w:sz w:val="24"/>
                <w:szCs w:val="24"/>
              </w:rPr>
              <w:t>可在甲方对乙方的授信额度范围内进行等额抵扣</w:t>
            </w:r>
            <w:r>
              <w:rPr>
                <w:rFonts w:ascii="楷体" w:eastAsia="楷体" w:hAnsi="楷体" w:cs="楷体" w:hint="eastAsia"/>
                <w:bCs/>
                <w:sz w:val="24"/>
                <w:szCs w:val="24"/>
              </w:rPr>
              <w:t>，不足额部分需要以现金方式支付。</w:t>
            </w:r>
          </w:p>
          <w:p w14:paraId="06CC0563"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为免疑义，使用授信</w:t>
            </w:r>
            <w:r>
              <w:rPr>
                <w:rFonts w:ascii="楷体" w:eastAsia="楷体" w:hAnsi="楷体" w:cs="楷体" w:hint="eastAsia"/>
                <w:sz w:val="24"/>
                <w:szCs w:val="24"/>
                <w:lang w:val="en-US"/>
              </w:rPr>
              <w:t>等额抵扣无需乙方同意</w:t>
            </w:r>
            <w:r>
              <w:rPr>
                <w:rFonts w:ascii="楷体" w:eastAsia="楷体" w:hAnsi="楷体" w:cs="楷体" w:hint="eastAsia"/>
                <w:sz w:val="24"/>
                <w:szCs w:val="24"/>
              </w:rPr>
              <w:t>。</w:t>
            </w:r>
          </w:p>
        </w:tc>
      </w:tr>
      <w:tr w:rsidR="00FE777E" w14:paraId="1C2A565F" w14:textId="77777777">
        <w:tc>
          <w:tcPr>
            <w:tcW w:w="2263" w:type="dxa"/>
          </w:tcPr>
          <w:p w14:paraId="3A5E3DD8" w14:textId="77777777" w:rsidR="00FE777E" w:rsidRDefault="00627A08">
            <w:pPr>
              <w:pStyle w:val="aa"/>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实际存续追保金额</w:t>
            </w:r>
          </w:p>
        </w:tc>
        <w:tc>
          <w:tcPr>
            <w:tcW w:w="6033" w:type="dxa"/>
          </w:tcPr>
          <w:p w14:paraId="4C776A00"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就任一自然日而言，</w:t>
            </w:r>
            <w:r>
              <w:rPr>
                <w:rFonts w:ascii="楷体" w:eastAsia="楷体" w:hAnsi="楷体" w:cs="楷体" w:hint="eastAsia"/>
                <w:bCs/>
                <w:sz w:val="24"/>
                <w:szCs w:val="24"/>
              </w:rPr>
              <w:t>实际存续追保金额=</w:t>
            </w:r>
            <w:r>
              <w:rPr>
                <w:rFonts w:ascii="楷体" w:eastAsia="楷体" w:hAnsi="楷体" w:cs="楷体" w:hint="eastAsia"/>
                <w:sz w:val="24"/>
                <w:szCs w:val="24"/>
              </w:rPr>
              <w:t>乙方按照本交易确认书已经向甲方一次或多次支付的追保金额之和减去甲方按照“</w:t>
            </w:r>
            <w:r>
              <w:rPr>
                <w:rFonts w:ascii="楷体" w:eastAsia="楷体" w:hAnsi="楷体" w:cs="楷体" w:hint="eastAsia"/>
                <w:bCs/>
                <w:sz w:val="24"/>
                <w:szCs w:val="24"/>
              </w:rPr>
              <w:t>返还追保金</w:t>
            </w:r>
            <w:r>
              <w:rPr>
                <w:rFonts w:ascii="楷体" w:eastAsia="楷体" w:hAnsi="楷体" w:cs="楷体" w:hint="eastAsia"/>
                <w:sz w:val="24"/>
                <w:szCs w:val="24"/>
              </w:rPr>
              <w:t>”</w:t>
            </w:r>
            <w:r>
              <w:rPr>
                <w:rFonts w:ascii="楷体" w:eastAsia="楷体" w:hAnsi="楷体" w:cs="楷体" w:hint="eastAsia"/>
                <w:bCs/>
                <w:sz w:val="24"/>
                <w:szCs w:val="24"/>
              </w:rPr>
              <w:t>条款</w:t>
            </w:r>
            <w:r>
              <w:rPr>
                <w:rFonts w:ascii="楷体" w:eastAsia="楷体" w:hAnsi="楷体" w:cs="楷体" w:hint="eastAsia"/>
                <w:sz w:val="24"/>
                <w:szCs w:val="24"/>
              </w:rPr>
              <w:t>已经向乙方一次或多次支付的</w:t>
            </w:r>
            <w:r>
              <w:rPr>
                <w:rFonts w:ascii="楷体" w:eastAsia="楷体" w:hAnsi="楷体" w:cs="楷体" w:hint="eastAsia"/>
                <w:bCs/>
                <w:sz w:val="24"/>
                <w:szCs w:val="24"/>
              </w:rPr>
              <w:t>返还追保金</w:t>
            </w:r>
            <w:r>
              <w:rPr>
                <w:rFonts w:ascii="楷体" w:eastAsia="楷体" w:hAnsi="楷体" w:cs="楷体" w:hint="eastAsia"/>
                <w:sz w:val="24"/>
                <w:szCs w:val="24"/>
              </w:rPr>
              <w:t>之和。</w:t>
            </w:r>
          </w:p>
        </w:tc>
      </w:tr>
      <w:tr w:rsidR="00FE777E" w14:paraId="50331FFF" w14:textId="77777777">
        <w:tc>
          <w:tcPr>
            <w:tcW w:w="2263" w:type="dxa"/>
          </w:tcPr>
          <w:p w14:paraId="1F404238" w14:textId="77777777" w:rsidR="00FE777E" w:rsidRDefault="00627A08">
            <w:pPr>
              <w:pStyle w:val="aa"/>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追保违约事件</w:t>
            </w:r>
          </w:p>
        </w:tc>
        <w:tc>
          <w:tcPr>
            <w:tcW w:w="6033" w:type="dxa"/>
          </w:tcPr>
          <w:p w14:paraId="7F3931A9"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若</w:t>
            </w:r>
            <w:r>
              <w:rPr>
                <w:rFonts w:ascii="楷体" w:eastAsia="楷体" w:hAnsi="楷体" w:cs="楷体" w:hint="eastAsia"/>
                <w:bCs/>
                <w:sz w:val="24"/>
                <w:szCs w:val="24"/>
              </w:rPr>
              <w:t>乙方在甲方的剩余授信额度小于乙方应当支付的追保金额，且</w:t>
            </w:r>
            <w:r>
              <w:rPr>
                <w:rFonts w:ascii="楷体" w:eastAsia="楷体" w:hAnsi="楷体" w:cs="楷体" w:hint="eastAsia"/>
                <w:sz w:val="24"/>
                <w:szCs w:val="24"/>
                <w:lang w:val="en-US"/>
              </w:rPr>
              <w:t>乙方未按照本交易确认书的约定向甲方支付追保金额，将构成追保违约事件，甲方有权单方面决定按照“提前终止条款”的规定通知乙方提前终止本交易。</w:t>
            </w:r>
          </w:p>
        </w:tc>
      </w:tr>
      <w:tr w:rsidR="00FE777E" w14:paraId="6A5986C6" w14:textId="77777777">
        <w:tc>
          <w:tcPr>
            <w:tcW w:w="2263" w:type="dxa"/>
          </w:tcPr>
          <w:p w14:paraId="545F605D" w14:textId="77777777" w:rsidR="00FE777E" w:rsidRDefault="00627A08">
            <w:pPr>
              <w:pStyle w:val="aa"/>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4"/>
              </w:rPr>
              <w:t>返还追保事件</w:t>
            </w:r>
          </w:p>
        </w:tc>
        <w:tc>
          <w:tcPr>
            <w:tcW w:w="6033" w:type="dxa"/>
          </w:tcPr>
          <w:p w14:paraId="6A00AABF" w14:textId="77777777" w:rsidR="00FE777E" w:rsidRDefault="00627A08">
            <w:pPr>
              <w:spacing w:beforeLines="50" w:before="120" w:after="0" w:line="240" w:lineRule="auto"/>
              <w:jc w:val="both"/>
              <w:rPr>
                <w:rFonts w:ascii="楷体" w:eastAsia="楷体" w:hAnsi="楷体" w:cs="楷体"/>
                <w:bCs/>
                <w:sz w:val="24"/>
                <w:szCs w:val="24"/>
              </w:rPr>
            </w:pPr>
            <w:r>
              <w:rPr>
                <w:rFonts w:ascii="楷体" w:eastAsia="楷体" w:hAnsi="楷体" w:cs="楷体" w:hint="eastAsia"/>
                <w:bCs/>
                <w:sz w:val="24"/>
                <w:szCs w:val="24"/>
              </w:rPr>
              <w:t>返还追保事件指，在任何一个营业日，</w:t>
            </w:r>
            <w:r>
              <w:rPr>
                <w:rFonts w:ascii="楷体" w:eastAsia="楷体" w:hAnsi="楷体" w:cs="楷体" w:hint="eastAsia"/>
                <w:sz w:val="24"/>
                <w:szCs w:val="24"/>
              </w:rPr>
              <w:t>计算机构以诚实信用及商业合理方式认定，</w:t>
            </w:r>
            <w:r>
              <w:rPr>
                <w:rFonts w:ascii="楷体" w:eastAsia="楷体" w:hAnsi="楷体" w:cs="楷体" w:hint="eastAsia"/>
                <w:bCs/>
                <w:sz w:val="24"/>
                <w:szCs w:val="20"/>
              </w:rPr>
              <w:t>标的证券的收盘价</w:t>
            </w:r>
            <w:r>
              <w:rPr>
                <w:rFonts w:ascii="楷体" w:eastAsia="楷体" w:hAnsi="楷体" w:cs="楷体" w:hint="eastAsia"/>
                <w:bCs/>
                <w:sz w:val="24"/>
                <w:szCs w:val="24"/>
              </w:rPr>
              <w:t>已连续【10】个营业日处于下列任一“触发返还价格区间内，且在该日，实际存续追保金额大于或者等于触发返还价格区间对应的合计返还追保金额。</w:t>
            </w:r>
          </w:p>
          <w:tbl>
            <w:tblPr>
              <w:tblStyle w:val="a9"/>
              <w:tblW w:w="0" w:type="auto"/>
              <w:tblLook w:val="04A0" w:firstRow="1" w:lastRow="0" w:firstColumn="1" w:lastColumn="0" w:noHBand="0" w:noVBand="1"/>
            </w:tblPr>
            <w:tblGrid>
              <w:gridCol w:w="3284"/>
              <w:gridCol w:w="2381"/>
            </w:tblGrid>
            <w:tr w:rsidR="00FE777E" w14:paraId="6D0E3EC4" w14:textId="77777777">
              <w:tc>
                <w:tcPr>
                  <w:tcW w:w="3284" w:type="dxa"/>
                </w:tcPr>
                <w:p w14:paraId="36A34EDC" w14:textId="77777777" w:rsidR="00FE777E" w:rsidRDefault="00627A08">
                  <w:pPr>
                    <w:spacing w:beforeLines="50" w:before="120" w:after="0" w:line="240" w:lineRule="auto"/>
                    <w:jc w:val="center"/>
                    <w:rPr>
                      <w:rFonts w:ascii="楷体" w:eastAsia="楷体" w:hAnsi="楷体" w:cs="楷体"/>
                      <w:sz w:val="24"/>
                      <w:szCs w:val="24"/>
                    </w:rPr>
                  </w:pPr>
                  <w:r>
                    <w:rPr>
                      <w:rFonts w:ascii="楷体" w:eastAsia="楷体" w:hAnsi="楷体" w:cs="楷体" w:hint="eastAsia"/>
                      <w:b/>
                      <w:sz w:val="24"/>
                      <w:szCs w:val="24"/>
                    </w:rPr>
                    <w:t>触发返还价格区间</w:t>
                  </w:r>
                </w:p>
              </w:tc>
              <w:tc>
                <w:tcPr>
                  <w:tcW w:w="2381" w:type="dxa"/>
                </w:tcPr>
                <w:p w14:paraId="32150FDC" w14:textId="77777777" w:rsidR="00FE777E" w:rsidRDefault="00627A08">
                  <w:pPr>
                    <w:spacing w:beforeLines="50" w:before="120" w:after="0" w:line="240" w:lineRule="auto"/>
                    <w:jc w:val="center"/>
                    <w:rPr>
                      <w:rFonts w:ascii="楷体" w:eastAsia="楷体" w:hAnsi="楷体" w:cs="楷体"/>
                      <w:sz w:val="24"/>
                      <w:szCs w:val="24"/>
                    </w:rPr>
                  </w:pPr>
                  <w:r>
                    <w:rPr>
                      <w:rFonts w:ascii="楷体" w:eastAsia="楷体" w:hAnsi="楷体" w:cs="楷体" w:hint="eastAsia"/>
                      <w:b/>
                      <w:sz w:val="24"/>
                      <w:szCs w:val="24"/>
                    </w:rPr>
                    <w:t>合计返还追保金额</w:t>
                  </w:r>
                </w:p>
              </w:tc>
            </w:tr>
            <w:tr w:rsidR="00FE777E" w14:paraId="66129AED" w14:textId="77777777">
              <w:tc>
                <w:tcPr>
                  <w:tcW w:w="3284" w:type="dxa"/>
                </w:tcPr>
                <w:p w14:paraId="568AC8DB"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【{{返还区间0下限}}】% ×参考标的期初净价≤参考标的当前净价</w:t>
                  </w:r>
                </w:p>
              </w:tc>
              <w:tc>
                <w:tcPr>
                  <w:tcW w:w="2381" w:type="dxa"/>
                </w:tcPr>
                <w:p w14:paraId="254869E1" w14:textId="618ADC6D"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w:t>
                  </w:r>
                  <w:r w:rsidR="00142EA9">
                    <w:rPr>
                      <w:rFonts w:ascii="楷体" w:eastAsia="楷体" w:hAnsi="楷体" w:cs="楷体" w:hint="eastAsia"/>
                      <w:sz w:val="24"/>
                      <w:szCs w:val="24"/>
                    </w:rPr>
                    <w:t>{{</w:t>
                  </w:r>
                  <w:r w:rsidR="00C56BC0">
                    <w:rPr>
                      <w:rFonts w:ascii="楷体" w:eastAsia="楷体" w:hAnsi="楷体" w:cs="楷体" w:hint="eastAsia"/>
                      <w:sz w:val="24"/>
                      <w:szCs w:val="24"/>
                    </w:rPr>
                    <w:t>返还</w:t>
                  </w:r>
                  <w:r w:rsidR="00142EA9">
                    <w:rPr>
                      <w:rFonts w:ascii="楷体" w:eastAsia="楷体" w:hAnsi="楷体" w:cs="楷体" w:hint="eastAsia"/>
                      <w:sz w:val="24"/>
                      <w:szCs w:val="24"/>
                    </w:rPr>
                    <w:t>金额比例0}}</w:t>
                  </w:r>
                  <w:r>
                    <w:rPr>
                      <w:rFonts w:ascii="楷体" w:eastAsia="楷体" w:hAnsi="楷体" w:cs="楷体" w:hint="eastAsia"/>
                      <w:sz w:val="24"/>
                      <w:szCs w:val="20"/>
                    </w:rPr>
                    <w:t>】%×参考标的期初全价×参考标的券面总额</w:t>
                  </w:r>
                </w:p>
              </w:tc>
            </w:tr>
            <w:tr w:rsidR="00FE777E" w14:paraId="1E2AD1AC" w14:textId="77777777">
              <w:tc>
                <w:tcPr>
                  <w:tcW w:w="3284" w:type="dxa"/>
                </w:tcPr>
                <w:p w14:paraId="72CE6D28"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【{{返还区间1下限}}】%×参考标的期初净价≤参考标的当前净价&lt;【{{返还区间1上限}}】% ×参考标的期初净价</w:t>
                  </w:r>
                </w:p>
              </w:tc>
              <w:tc>
                <w:tcPr>
                  <w:tcW w:w="2381" w:type="dxa"/>
                </w:tcPr>
                <w:p w14:paraId="743E896B"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【{{返还金额比例1}}】%×参考标的期初全价×参考标的券面总额</w:t>
                  </w:r>
                </w:p>
              </w:tc>
            </w:tr>
            <w:tr w:rsidR="00FE777E" w14:paraId="28408DBF" w14:textId="77777777">
              <w:tc>
                <w:tcPr>
                  <w:tcW w:w="3284" w:type="dxa"/>
                </w:tcPr>
                <w:p w14:paraId="6BBA7A70"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【{{返还区间2下限}}】%×参考标的期初净价≤参考标的当前净价&lt;【{{返还区间2上限}}】%×参考标的期初净价</w:t>
                  </w:r>
                </w:p>
              </w:tc>
              <w:tc>
                <w:tcPr>
                  <w:tcW w:w="2381" w:type="dxa"/>
                </w:tcPr>
                <w:p w14:paraId="6BF81B69"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【{{返还金额比例2}}】% ×参考标的期初全价×参考标的券面总额</w:t>
                  </w:r>
                </w:p>
              </w:tc>
            </w:tr>
            <w:tr w:rsidR="00FE777E" w14:paraId="6A78ECB7" w14:textId="77777777">
              <w:tc>
                <w:tcPr>
                  <w:tcW w:w="3284" w:type="dxa"/>
                </w:tcPr>
                <w:p w14:paraId="4F8AA2F1"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【{{返还区间3下限}}】% x参考标的期初净价≤参考标的当前净价&lt;【{{返还区间3上限}}】% ×参考标的期初净价</w:t>
                  </w:r>
                </w:p>
              </w:tc>
              <w:tc>
                <w:tcPr>
                  <w:tcW w:w="2381" w:type="dxa"/>
                </w:tcPr>
                <w:p w14:paraId="1499C721"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【{{返还金额比例3}}】% x参考标的期初全价×参考标的券面总额</w:t>
                  </w:r>
                </w:p>
              </w:tc>
            </w:tr>
          </w:tbl>
          <w:p w14:paraId="3C1E1D5F"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为避免疑义，在交易存续期间，</w:t>
            </w:r>
            <w:r>
              <w:rPr>
                <w:rFonts w:ascii="楷体" w:eastAsia="楷体" w:hAnsi="楷体" w:cs="楷体" w:hint="eastAsia"/>
                <w:bCs/>
                <w:sz w:val="24"/>
                <w:szCs w:val="24"/>
              </w:rPr>
              <w:t>返还追保事件</w:t>
            </w:r>
            <w:r>
              <w:rPr>
                <w:rFonts w:ascii="楷体" w:eastAsia="楷体" w:hAnsi="楷体" w:cs="楷体" w:hint="eastAsia"/>
                <w:sz w:val="24"/>
                <w:szCs w:val="24"/>
              </w:rPr>
              <w:t>可能发生超过一次。</w:t>
            </w:r>
          </w:p>
        </w:tc>
      </w:tr>
      <w:tr w:rsidR="00FE777E" w14:paraId="43D2E5DA" w14:textId="77777777">
        <w:tc>
          <w:tcPr>
            <w:tcW w:w="2263" w:type="dxa"/>
          </w:tcPr>
          <w:p w14:paraId="07943BCA" w14:textId="77777777" w:rsidR="00FE777E" w:rsidRDefault="00627A08">
            <w:pPr>
              <w:pStyle w:val="aa"/>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返还追保事件发生日</w:t>
            </w:r>
          </w:p>
        </w:tc>
        <w:tc>
          <w:tcPr>
            <w:tcW w:w="6033" w:type="dxa"/>
          </w:tcPr>
          <w:p w14:paraId="5CC67066"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w:t>
            </w:r>
            <w:r>
              <w:rPr>
                <w:rFonts w:ascii="楷体" w:eastAsia="楷体" w:hAnsi="楷体" w:cs="楷体" w:hint="eastAsia"/>
                <w:bCs/>
                <w:sz w:val="24"/>
                <w:szCs w:val="24"/>
              </w:rPr>
              <w:t>追保事件发生之日。</w:t>
            </w:r>
          </w:p>
        </w:tc>
      </w:tr>
      <w:tr w:rsidR="00FE777E" w14:paraId="2F388560" w14:textId="77777777">
        <w:tc>
          <w:tcPr>
            <w:tcW w:w="2263" w:type="dxa"/>
          </w:tcPr>
          <w:p w14:paraId="0CC8AC26" w14:textId="77777777" w:rsidR="00FE777E" w:rsidRDefault="00627A08">
            <w:pPr>
              <w:pStyle w:val="aa"/>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返还追保支付日</w:t>
            </w:r>
          </w:p>
        </w:tc>
        <w:tc>
          <w:tcPr>
            <w:tcW w:w="6033" w:type="dxa"/>
          </w:tcPr>
          <w:p w14:paraId="0980DA04"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返还追保事件发生日后的第【3】个营业日。甲方应于返还追保支付日向乙方支付相应的</w:t>
            </w:r>
            <w:r>
              <w:rPr>
                <w:rFonts w:ascii="楷体" w:eastAsia="楷体" w:hAnsi="楷体" w:cs="楷体" w:hint="eastAsia"/>
                <w:bCs/>
                <w:sz w:val="24"/>
                <w:szCs w:val="24"/>
              </w:rPr>
              <w:t>返还追保金额</w:t>
            </w:r>
            <w:r>
              <w:rPr>
                <w:rFonts w:ascii="楷体" w:eastAsia="楷体" w:hAnsi="楷体" w:cs="楷体" w:hint="eastAsia"/>
                <w:sz w:val="24"/>
                <w:szCs w:val="24"/>
              </w:rPr>
              <w:t>。</w:t>
            </w:r>
          </w:p>
        </w:tc>
      </w:tr>
      <w:tr w:rsidR="00FE777E" w14:paraId="17FEB94C" w14:textId="77777777">
        <w:tc>
          <w:tcPr>
            <w:tcW w:w="2263" w:type="dxa"/>
          </w:tcPr>
          <w:p w14:paraId="26617703" w14:textId="77777777" w:rsidR="00FE777E" w:rsidRDefault="00627A08">
            <w:pPr>
              <w:pStyle w:val="aa"/>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返还追保金额</w:t>
            </w:r>
          </w:p>
          <w:p w14:paraId="041F7E58" w14:textId="77777777" w:rsidR="00FE777E" w:rsidRDefault="00FE777E">
            <w:pPr>
              <w:spacing w:beforeLines="50" w:before="120" w:after="0" w:line="240" w:lineRule="auto"/>
              <w:rPr>
                <w:rFonts w:ascii="楷体" w:eastAsia="楷体" w:hAnsi="楷体" w:cs="楷体"/>
                <w:sz w:val="24"/>
                <w:szCs w:val="24"/>
              </w:rPr>
            </w:pPr>
          </w:p>
        </w:tc>
        <w:tc>
          <w:tcPr>
            <w:tcW w:w="6033" w:type="dxa"/>
          </w:tcPr>
          <w:p w14:paraId="473E97B0"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就某一返还追保事件发生日而言,返还追保金额=实际存续追保金额－该日触发返还价格区间对应的合计返还追保金额，四舍五入精确到小数点后2位。</w:t>
            </w:r>
          </w:p>
          <w:p w14:paraId="474E0ABC"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为避免疑义，由授信抵扣追保金额的，返还追保金额时，将等额释放乙方在甲方已占用的授信额度，不涉及现金的返还。</w:t>
            </w:r>
          </w:p>
        </w:tc>
      </w:tr>
      <w:tr w:rsidR="00FE777E" w14:paraId="75022050" w14:textId="77777777">
        <w:tc>
          <w:tcPr>
            <w:tcW w:w="8296" w:type="dxa"/>
            <w:gridSpan w:val="2"/>
            <w:shd w:val="clear" w:color="auto" w:fill="D9D9D9" w:themeFill="background1" w:themeFillShade="D9"/>
          </w:tcPr>
          <w:p w14:paraId="22175AC6" w14:textId="77777777" w:rsidR="00FE777E" w:rsidRDefault="00627A08">
            <w:pPr>
              <w:pStyle w:val="aa"/>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期末结算条款</w:t>
            </w:r>
          </w:p>
        </w:tc>
      </w:tr>
      <w:tr w:rsidR="00FE777E" w14:paraId="05DE0AEE" w14:textId="77777777">
        <w:tc>
          <w:tcPr>
            <w:tcW w:w="2263" w:type="dxa"/>
          </w:tcPr>
          <w:p w14:paraId="6D9E9AB7" w14:textId="77777777" w:rsidR="00FE777E" w:rsidRDefault="00627A08">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期末结算日</w:t>
            </w:r>
          </w:p>
        </w:tc>
        <w:tc>
          <w:tcPr>
            <w:tcW w:w="6033" w:type="dxa"/>
          </w:tcPr>
          <w:p w14:paraId="78A24FD8"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以下较晚的日期：(i)到期日后的第【1】个营业日；(ii)期末估值期间结束日后的第【1】个营业日。</w:t>
            </w:r>
          </w:p>
        </w:tc>
      </w:tr>
      <w:tr w:rsidR="00FE777E" w14:paraId="57882B9A" w14:textId="77777777">
        <w:tc>
          <w:tcPr>
            <w:tcW w:w="2263" w:type="dxa"/>
          </w:tcPr>
          <w:p w14:paraId="325610DF" w14:textId="77777777" w:rsidR="00FE777E" w:rsidRDefault="00627A08">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期末估值期间</w:t>
            </w:r>
          </w:p>
        </w:tc>
        <w:tc>
          <w:tcPr>
            <w:tcW w:w="6033" w:type="dxa"/>
          </w:tcPr>
          <w:p w14:paraId="2AD20EA2"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自期末估值日（含）起至下列较早的日期（“</w:t>
            </w:r>
            <w:r>
              <w:rPr>
                <w:rFonts w:ascii="楷体" w:eastAsia="楷体" w:hAnsi="楷体" w:cs="楷体" w:hint="eastAsia"/>
                <w:b/>
                <w:bCs/>
                <w:sz w:val="24"/>
                <w:szCs w:val="24"/>
              </w:rPr>
              <w:t>期末估值期间结束日</w:t>
            </w:r>
            <w:r>
              <w:rPr>
                <w:rFonts w:ascii="楷体" w:eastAsia="楷体" w:hAnsi="楷体" w:cs="楷体" w:hint="eastAsia"/>
                <w:sz w:val="24"/>
                <w:szCs w:val="24"/>
              </w:rPr>
              <w:t>”）（含）止的期间：(i)计算机构以商业合理的方式确定参考标的期末价格的最早日期；(ii)期末估值日后第【5】个营业日。</w:t>
            </w:r>
          </w:p>
        </w:tc>
      </w:tr>
      <w:tr w:rsidR="00FE777E" w14:paraId="6E55370C" w14:textId="77777777">
        <w:tc>
          <w:tcPr>
            <w:tcW w:w="2263" w:type="dxa"/>
          </w:tcPr>
          <w:p w14:paraId="1DFD891E" w14:textId="77777777" w:rsidR="00FE777E" w:rsidRDefault="00627A08">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期末估值日</w:t>
            </w:r>
          </w:p>
        </w:tc>
        <w:tc>
          <w:tcPr>
            <w:tcW w:w="6033" w:type="dxa"/>
          </w:tcPr>
          <w:p w14:paraId="2281F308"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指计算机构开始计算或确定参考标的期末价格的日期，为【到期日前一个营业日】。</w:t>
            </w:r>
          </w:p>
        </w:tc>
      </w:tr>
      <w:tr w:rsidR="00FE777E" w14:paraId="3288F88B" w14:textId="77777777">
        <w:tc>
          <w:tcPr>
            <w:tcW w:w="2263" w:type="dxa"/>
          </w:tcPr>
          <w:p w14:paraId="562DA997" w14:textId="77777777" w:rsidR="00FE777E" w:rsidRDefault="00627A08">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参考标的期末价格</w:t>
            </w:r>
          </w:p>
        </w:tc>
        <w:tc>
          <w:tcPr>
            <w:tcW w:w="6033" w:type="dxa"/>
          </w:tcPr>
          <w:p w14:paraId="30CFE4CA"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标的证券在</w:t>
            </w:r>
            <w:r>
              <w:rPr>
                <w:rFonts w:ascii="楷体" w:eastAsia="楷体" w:hAnsi="楷体" w:cs="楷体" w:hint="eastAsia"/>
                <w:bCs/>
                <w:sz w:val="24"/>
                <w:szCs w:val="24"/>
              </w:rPr>
              <w:t>期末估值日</w:t>
            </w:r>
            <w:r>
              <w:rPr>
                <w:rFonts w:ascii="楷体" w:eastAsia="楷体" w:hAnsi="楷体" w:cs="楷体" w:hint="eastAsia"/>
                <w:bCs/>
                <w:sz w:val="24"/>
                <w:szCs w:val="20"/>
              </w:rPr>
              <w:t>的</w:t>
            </w:r>
            <w:r>
              <w:rPr>
                <w:rFonts w:ascii="楷体" w:eastAsia="楷体" w:hAnsi="楷体" w:cs="楷体" w:hint="eastAsia"/>
                <w:b/>
                <w:bCs/>
                <w:sz w:val="24"/>
                <w:szCs w:val="20"/>
              </w:rPr>
              <w:t>市场买入价</w:t>
            </w:r>
            <w:r>
              <w:rPr>
                <w:rFonts w:ascii="楷体" w:eastAsia="楷体" w:hAnsi="楷体" w:cs="楷体" w:hint="eastAsia"/>
                <w:bCs/>
                <w:sz w:val="24"/>
                <w:szCs w:val="20"/>
              </w:rPr>
              <w:t>，该价格为甲方以商业合理原则下直接或通过第三方对冲买入标的的对冲成交价格。</w:t>
            </w:r>
          </w:p>
        </w:tc>
      </w:tr>
      <w:tr w:rsidR="00FE777E" w14:paraId="16DD8B22" w14:textId="77777777">
        <w:tc>
          <w:tcPr>
            <w:tcW w:w="2263" w:type="dxa"/>
          </w:tcPr>
          <w:p w14:paraId="4BB3BA32" w14:textId="77777777" w:rsidR="00FE777E" w:rsidRDefault="00627A08">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期末结算金额</w:t>
            </w:r>
          </w:p>
        </w:tc>
        <w:tc>
          <w:tcPr>
            <w:tcW w:w="6033" w:type="dxa"/>
          </w:tcPr>
          <w:p w14:paraId="48FAF7DD"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如交易存续期间未发生拆分或合并的，在</w:t>
            </w:r>
            <w:r>
              <w:rPr>
                <w:rFonts w:ascii="楷体" w:eastAsia="楷体" w:hAnsi="楷体" w:cs="楷体" w:hint="eastAsia"/>
                <w:bCs/>
                <w:sz w:val="24"/>
                <w:szCs w:val="24"/>
              </w:rPr>
              <w:t>期末估值日</w:t>
            </w:r>
            <w:r>
              <w:rPr>
                <w:rFonts w:ascii="楷体" w:eastAsia="楷体" w:hAnsi="楷体" w:cs="楷体" w:hint="eastAsia"/>
                <w:sz w:val="24"/>
                <w:szCs w:val="24"/>
              </w:rPr>
              <w:t>，总收益金额=参考标的名义份额×（参考标的期末价格–参考标的期初价格）+标的证券持有人累计收到的分红及其他已收现金金额+期初现金</w:t>
            </w:r>
            <w:r>
              <w:rPr>
                <w:rFonts w:ascii="楷体" w:eastAsia="楷体" w:hAnsi="楷体" w:cs="楷体" w:hint="eastAsia"/>
                <w:sz w:val="24"/>
                <w:szCs w:val="24"/>
                <w:lang w:val="en-US"/>
              </w:rPr>
              <w:t>交换</w:t>
            </w:r>
            <w:r>
              <w:rPr>
                <w:rFonts w:ascii="楷体" w:eastAsia="楷体" w:hAnsi="楷体" w:cs="楷体" w:hint="eastAsia"/>
                <w:sz w:val="24"/>
                <w:szCs w:val="24"/>
              </w:rPr>
              <w:t>金额+期初预付金利息金额+到期日的</w:t>
            </w:r>
            <w:r>
              <w:rPr>
                <w:rFonts w:ascii="楷体" w:eastAsia="楷体" w:hAnsi="楷体" w:cs="楷体" w:hint="eastAsia"/>
                <w:bCs/>
                <w:sz w:val="24"/>
                <w:szCs w:val="24"/>
              </w:rPr>
              <w:t>实际存续追保金额</w:t>
            </w:r>
            <w:r>
              <w:rPr>
                <w:rFonts w:ascii="楷体" w:eastAsia="楷体" w:hAnsi="楷体" w:cs="楷体" w:hint="eastAsia"/>
                <w:sz w:val="24"/>
                <w:szCs w:val="24"/>
              </w:rPr>
              <w:t>+固定收益金额–利率收益金额–交易相关</w:t>
            </w:r>
            <w:r>
              <w:rPr>
                <w:rFonts w:ascii="楷体" w:eastAsia="楷体" w:hAnsi="楷体" w:cs="楷体" w:hint="eastAsia"/>
                <w:bCs/>
                <w:sz w:val="24"/>
                <w:szCs w:val="24"/>
              </w:rPr>
              <w:t>税费</w:t>
            </w:r>
            <w:r>
              <w:rPr>
                <w:rFonts w:ascii="楷体" w:eastAsia="楷体" w:hAnsi="楷体" w:cs="楷体" w:hint="eastAsia"/>
                <w:sz w:val="24"/>
                <w:szCs w:val="24"/>
              </w:rPr>
              <w:t>–提前终止费用，四舍五入精确到小数点后【2】位；</w:t>
            </w:r>
          </w:p>
          <w:p w14:paraId="5F03C21C"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如交易存续期间发生拆分或合并的，在</w:t>
            </w:r>
            <w:r>
              <w:rPr>
                <w:rFonts w:ascii="楷体" w:eastAsia="楷体" w:hAnsi="楷体" w:cs="楷体" w:hint="eastAsia"/>
                <w:bCs/>
                <w:sz w:val="24"/>
                <w:szCs w:val="24"/>
              </w:rPr>
              <w:t>期末估值日</w:t>
            </w:r>
            <w:r>
              <w:rPr>
                <w:rFonts w:ascii="楷体" w:eastAsia="楷体" w:hAnsi="楷体" w:cs="楷体" w:hint="eastAsia"/>
                <w:sz w:val="24"/>
                <w:szCs w:val="24"/>
              </w:rPr>
              <w:t>，总收益金额= 经调整的标的名义份额×（参考标的期末价格–经调整的参考标的期初价格）+标的证券持有人累计收到的分红及其他已收现金金额+期初现金</w:t>
            </w:r>
            <w:r>
              <w:rPr>
                <w:rFonts w:ascii="楷体" w:eastAsia="楷体" w:hAnsi="楷体" w:cs="楷体" w:hint="eastAsia"/>
                <w:sz w:val="24"/>
                <w:szCs w:val="24"/>
                <w:lang w:val="en-US"/>
              </w:rPr>
              <w:t>交换</w:t>
            </w:r>
            <w:r>
              <w:rPr>
                <w:rFonts w:ascii="楷体" w:eastAsia="楷体" w:hAnsi="楷体" w:cs="楷体" w:hint="eastAsia"/>
                <w:sz w:val="24"/>
                <w:szCs w:val="24"/>
              </w:rPr>
              <w:t>金额+期初预付金利息金额+到期日的</w:t>
            </w:r>
            <w:r>
              <w:rPr>
                <w:rFonts w:ascii="楷体" w:eastAsia="楷体" w:hAnsi="楷体" w:cs="楷体" w:hint="eastAsia"/>
                <w:bCs/>
                <w:sz w:val="24"/>
                <w:szCs w:val="24"/>
              </w:rPr>
              <w:t>实际存续追保金额</w:t>
            </w:r>
            <w:r>
              <w:rPr>
                <w:rFonts w:ascii="楷体" w:eastAsia="楷体" w:hAnsi="楷体" w:cs="楷体" w:hint="eastAsia"/>
                <w:sz w:val="24"/>
                <w:szCs w:val="24"/>
              </w:rPr>
              <w:t>+固定收益金额–利率收益金额–交易相关</w:t>
            </w:r>
            <w:r>
              <w:rPr>
                <w:rFonts w:ascii="楷体" w:eastAsia="楷体" w:hAnsi="楷体" w:cs="楷体" w:hint="eastAsia"/>
                <w:bCs/>
                <w:sz w:val="24"/>
                <w:szCs w:val="24"/>
              </w:rPr>
              <w:t>税费</w:t>
            </w:r>
            <w:r>
              <w:rPr>
                <w:rFonts w:ascii="楷体" w:eastAsia="楷体" w:hAnsi="楷体" w:cs="楷体" w:hint="eastAsia"/>
                <w:sz w:val="24"/>
                <w:szCs w:val="24"/>
              </w:rPr>
              <w:t>–提前终止费用，四舍五入精确到小数点后【2】位。</w:t>
            </w:r>
          </w:p>
          <w:p w14:paraId="2E3A8A6F"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每份额标的证券所对应的分红以基金管理人公布的公告为准。</w:t>
            </w:r>
          </w:p>
        </w:tc>
      </w:tr>
      <w:tr w:rsidR="00FE777E" w14:paraId="7AF88EEA" w14:textId="77777777">
        <w:tc>
          <w:tcPr>
            <w:tcW w:w="2263" w:type="dxa"/>
          </w:tcPr>
          <w:p w14:paraId="4C2F63C7" w14:textId="77777777" w:rsidR="00FE777E" w:rsidRDefault="00627A08">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lastRenderedPageBreak/>
              <w:t>交易相关税费</w:t>
            </w:r>
          </w:p>
        </w:tc>
        <w:tc>
          <w:tcPr>
            <w:tcW w:w="6033" w:type="dxa"/>
          </w:tcPr>
          <w:p w14:paraId="5113AD9F"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计算机构以诚实信用和商业上合理方式确定的、本交易存续期间对冲交易涉及的费用，任何可能被施加在甲方订立的与本交易相关的对冲交易上的、适用的任何预扣税或由于税务原因或任何其他原因需扣除的金额及其他费用。</w:t>
            </w:r>
          </w:p>
        </w:tc>
      </w:tr>
      <w:tr w:rsidR="00FE777E" w14:paraId="7D37D2FB" w14:textId="77777777">
        <w:tc>
          <w:tcPr>
            <w:tcW w:w="2263" w:type="dxa"/>
          </w:tcPr>
          <w:p w14:paraId="2C8FA543" w14:textId="77777777" w:rsidR="00FE777E" w:rsidRDefault="00627A08">
            <w:pPr>
              <w:pStyle w:val="aa"/>
              <w:numPr>
                <w:ilvl w:val="0"/>
                <w:numId w:val="6"/>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提前终止费用</w:t>
            </w:r>
          </w:p>
        </w:tc>
        <w:tc>
          <w:tcPr>
            <w:tcW w:w="6033" w:type="dxa"/>
          </w:tcPr>
          <w:p w14:paraId="1DC3D7BB"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发生提前终止事件，由提前终止事件引起的与终止本产品相关的任何支出、费用、亏损、税费等相关费用（包括但不限于甲方因前述事宜遭受的亏损、融资成本、了结交易/清仓/对冲/重新建立对冲仓位/重新融资导致的支出或亏损），由计算机构以诚信且商业合理原则决定。</w:t>
            </w:r>
          </w:p>
        </w:tc>
      </w:tr>
      <w:tr w:rsidR="00FE777E" w14:paraId="5B55654D" w14:textId="77777777">
        <w:tc>
          <w:tcPr>
            <w:tcW w:w="2263" w:type="dxa"/>
          </w:tcPr>
          <w:p w14:paraId="61A5F446" w14:textId="77777777" w:rsidR="00FE777E" w:rsidRDefault="00627A08">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期末结算支付方</w:t>
            </w:r>
          </w:p>
        </w:tc>
        <w:tc>
          <w:tcPr>
            <w:tcW w:w="6033" w:type="dxa"/>
          </w:tcPr>
          <w:p w14:paraId="3698FC78" w14:textId="77777777" w:rsidR="00FE777E" w:rsidRDefault="00627A08">
            <w:pPr>
              <w:widowControl w:val="0"/>
              <w:spacing w:after="0" w:line="240" w:lineRule="auto"/>
              <w:rPr>
                <w:rFonts w:ascii="楷体" w:eastAsia="楷体" w:hAnsi="楷体" w:cs="楷体"/>
                <w:bCs/>
                <w:sz w:val="24"/>
                <w:szCs w:val="20"/>
              </w:rPr>
            </w:pPr>
            <w:r>
              <w:rPr>
                <w:rFonts w:ascii="楷体" w:eastAsia="楷体" w:hAnsi="楷体" w:cs="楷体" w:hint="eastAsia"/>
                <w:bCs/>
                <w:sz w:val="24"/>
                <w:szCs w:val="20"/>
              </w:rPr>
              <w:t>若期末结算金额≥0，则由甲方向乙方支付期末结算金额；</w:t>
            </w:r>
          </w:p>
          <w:p w14:paraId="261A55AC"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若期末结算金额＜0，则由乙方向甲方支付期末结算金额的绝对值金额。</w:t>
            </w:r>
          </w:p>
        </w:tc>
      </w:tr>
      <w:tr w:rsidR="00FE777E" w14:paraId="2D7FAAEF" w14:textId="77777777">
        <w:tc>
          <w:tcPr>
            <w:tcW w:w="8296" w:type="dxa"/>
            <w:gridSpan w:val="2"/>
            <w:shd w:val="clear" w:color="auto" w:fill="D9D9D9" w:themeFill="background1" w:themeFillShade="D9"/>
          </w:tcPr>
          <w:p w14:paraId="761C0F30" w14:textId="77777777" w:rsidR="00FE777E" w:rsidRDefault="00627A08">
            <w:pPr>
              <w:pStyle w:val="aa"/>
              <w:numPr>
                <w:ilvl w:val="0"/>
                <w:numId w:val="1"/>
              </w:numPr>
              <w:spacing w:beforeLines="50" w:before="120" w:after="0" w:line="240" w:lineRule="auto"/>
              <w:rPr>
                <w:rFonts w:ascii="楷体" w:eastAsia="楷体" w:hAnsi="楷体" w:cs="楷体"/>
                <w:b/>
                <w:sz w:val="24"/>
                <w:szCs w:val="24"/>
              </w:rPr>
            </w:pPr>
            <w:r>
              <w:rPr>
                <w:rFonts w:ascii="楷体" w:eastAsia="楷体" w:hAnsi="楷体" w:cs="楷体" w:hint="eastAsia"/>
                <w:b/>
                <w:sz w:val="24"/>
                <w:szCs w:val="24"/>
              </w:rPr>
              <w:t>提前终止条款</w:t>
            </w:r>
          </w:p>
        </w:tc>
      </w:tr>
      <w:tr w:rsidR="00FE777E" w14:paraId="14C224FE" w14:textId="77777777">
        <w:tc>
          <w:tcPr>
            <w:tcW w:w="2263" w:type="dxa"/>
          </w:tcPr>
          <w:p w14:paraId="15CD6E77" w14:textId="77777777" w:rsidR="00FE777E" w:rsidRDefault="00627A08">
            <w:pPr>
              <w:pStyle w:val="aa"/>
              <w:numPr>
                <w:ilvl w:val="0"/>
                <w:numId w:val="7"/>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提前终止事件</w:t>
            </w:r>
          </w:p>
          <w:p w14:paraId="05138454" w14:textId="77777777" w:rsidR="00FE777E" w:rsidRDefault="00FE777E">
            <w:pPr>
              <w:spacing w:beforeLines="50" w:before="120" w:after="0" w:line="240" w:lineRule="auto"/>
              <w:rPr>
                <w:rFonts w:ascii="楷体" w:eastAsia="楷体" w:hAnsi="楷体" w:cs="楷体"/>
                <w:sz w:val="24"/>
                <w:szCs w:val="24"/>
              </w:rPr>
            </w:pPr>
          </w:p>
        </w:tc>
        <w:tc>
          <w:tcPr>
            <w:tcW w:w="6033" w:type="dxa"/>
          </w:tcPr>
          <w:p w14:paraId="58C84DBA"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计算机构按诚实信用及商业合理原则自主确定的以下任何事件或情形，构成一项甲方有权提前终止本交易的事件(“</w:t>
            </w:r>
            <w:r>
              <w:rPr>
                <w:rFonts w:ascii="楷体" w:eastAsia="楷体" w:hAnsi="楷体" w:cs="楷体" w:hint="eastAsia"/>
                <w:b/>
                <w:sz w:val="24"/>
                <w:szCs w:val="24"/>
              </w:rPr>
              <w:t>提前终止事件</w:t>
            </w:r>
            <w:r>
              <w:rPr>
                <w:rFonts w:ascii="楷体" w:eastAsia="楷体" w:hAnsi="楷体" w:cs="楷体" w:hint="eastAsia"/>
                <w:sz w:val="24"/>
                <w:szCs w:val="24"/>
              </w:rPr>
              <w:t>”)：</w:t>
            </w:r>
          </w:p>
          <w:p w14:paraId="175AAFCA" w14:textId="77777777" w:rsidR="00FE777E" w:rsidRDefault="00627A08">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乙方发生信用状况或财务状况恶化等足以影响履约能力的情形。</w:t>
            </w:r>
          </w:p>
          <w:p w14:paraId="0D169C59" w14:textId="77777777" w:rsidR="00FE777E" w:rsidRDefault="00627A08">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法律变化事件</w:t>
            </w:r>
            <w:r>
              <w:rPr>
                <w:rFonts w:ascii="楷体" w:eastAsia="楷体" w:hAnsi="楷体" w:cs="楷体" w:hint="eastAsia"/>
                <w:sz w:val="24"/>
                <w:szCs w:val="24"/>
              </w:rPr>
              <w:t>：可适用的法律、法规、监管规则及其相关解释及适用(包括但不限于中国境内、参考标的的发行所在地、甲方的对冲交易对手的所在地和对冲地)的变化或不可抗力、政府行为等其他非甲方可以控制的事件(或甲方按照自身合理判断认为即将发生前述事件)发生导致甲方按照主协议、补充协议、交易确认书、取得和处置参考标的或投资组合或享有、复制其经济利益的行为变为不可能、不可行或构成违法或成本增加。</w:t>
            </w:r>
          </w:p>
          <w:p w14:paraId="3778AC25" w14:textId="77777777" w:rsidR="00FE777E" w:rsidRDefault="00627A08">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对冲失效事件</w:t>
            </w:r>
            <w:r>
              <w:rPr>
                <w:rFonts w:ascii="楷体" w:eastAsia="楷体" w:hAnsi="楷体" w:cs="楷体" w:hint="eastAsia"/>
                <w:sz w:val="24"/>
                <w:szCs w:val="24"/>
              </w:rPr>
              <w:t>:甲方为对冲本交易确认书项下交易或参考标的所涉的价格相关风险,可能寻求第三方做相应的对冲安排。如甲方或向甲方提供对冲安排的第三方因可适用的法律、法规、监管规则及其相关解释及适用(包括但不限于中国境内、参考标的的发行所在地、甲方的对冲交易对手的所在地和对冲地)的变化或不可抗力、政府行为等其他事件的发生(或甲方按照自身合理判断认为即将发生前述事件)或甲方依据与第三方的相关合同条款约定导致上述对冲安排变为不可能、不可行、对冲停止或对冲安排提前终止。</w:t>
            </w:r>
          </w:p>
          <w:p w14:paraId="2B70C88E" w14:textId="77777777" w:rsidR="00FE777E" w:rsidRDefault="00627A08">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lastRenderedPageBreak/>
              <w:t>乙方未能根据国家有关法律、法规及相关主管部门、监管部门、交易所等自律组织的相关规定及与甲方约定如实履行与本交易有关的信息披露义务或披露的信息存在虚假、误导、重大遗漏等情形, 甲方有权提前终止本交易确认书及其补充交易确认书和/或主协议及其补充协议，由此导致的监管处罚和法律责任及所有费用和损失均由乙方承担。</w:t>
            </w:r>
          </w:p>
          <w:p w14:paraId="20CAC382" w14:textId="77777777" w:rsidR="00FE777E" w:rsidRDefault="00627A08">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8"/>
              </w:rPr>
              <w:t>标的证券为基金，异常事件还包括如下情形：</w:t>
            </w:r>
          </w:p>
          <w:p w14:paraId="1DBB167D" w14:textId="77777777" w:rsidR="00FE777E" w:rsidRDefault="00627A08">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1.基金发生不再具备上市条件而应当终止上市的情形，将转型并终止上市；2.基金直接或间接提供服务之人（包括但不限于基金管理人和托管人）停止交易；</w:t>
            </w:r>
          </w:p>
          <w:p w14:paraId="2D5A7F18" w14:textId="77777777" w:rsidR="00FE777E" w:rsidRDefault="00627A08">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3.计算机构认为对于相关基金的理论价值可能产生稀释或集中效应的任何其他事件；</w:t>
            </w:r>
          </w:p>
          <w:p w14:paraId="03CA92B7" w14:textId="77777777" w:rsidR="00FE777E" w:rsidRDefault="00627A08">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4.主管基金的政府、法律或监管机构取消、暂停或撤销了基金的登记或审批；基金和／或基金相关方的法律、税务、会计或监管处理发生变化，有可能对基金的投资人或基金的价值产生不利影响；</w:t>
            </w:r>
          </w:p>
          <w:p w14:paraId="0D6B258A" w14:textId="77777777" w:rsidR="00FE777E" w:rsidRDefault="00627A08">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5.发生影响基金的任何事件，有可能导致基金的资产净值不可能或者不能够确定；</w:t>
            </w:r>
          </w:p>
          <w:p w14:paraId="628BD54E" w14:textId="77777777" w:rsidR="00FE777E" w:rsidRDefault="00627A08">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任何可能影响甲方进行与本交易有关的风险对冲的事件，如发生基金暂停申购/赎回、延期支付赎回款项等；</w:t>
            </w:r>
          </w:p>
          <w:p w14:paraId="2982F7B1" w14:textId="77777777" w:rsidR="00FE777E" w:rsidRDefault="00627A08">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6.任何可能影响甲方进行与本交易有关的风险对冲成本的事件，如发生申购/赎回费用提升等。</w:t>
            </w:r>
          </w:p>
          <w:p w14:paraId="2064F96D" w14:textId="77777777" w:rsidR="00FE777E" w:rsidRDefault="00627A08">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有可能影响基金的价值、交易或经营的任何事件。</w:t>
            </w:r>
          </w:p>
          <w:p w14:paraId="5CC17FF2" w14:textId="77777777" w:rsidR="00FE777E" w:rsidRDefault="00627A08">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发生追保违约事件</w:t>
            </w:r>
            <w:r>
              <w:rPr>
                <w:rFonts w:ascii="楷体" w:eastAsia="楷体" w:hAnsi="楷体" w:cs="楷体" w:hint="eastAsia"/>
                <w:sz w:val="24"/>
                <w:szCs w:val="24"/>
              </w:rPr>
              <w:t>。</w:t>
            </w:r>
          </w:p>
          <w:p w14:paraId="06564D58" w14:textId="77777777" w:rsidR="00FE777E" w:rsidRDefault="00627A08">
            <w:pPr>
              <w:pStyle w:val="1"/>
              <w:spacing w:beforeLines="50" w:before="120" w:after="0" w:line="240" w:lineRule="auto"/>
              <w:ind w:left="420" w:firstLineChars="200" w:firstLine="480"/>
              <w:jc w:val="both"/>
              <w:rPr>
                <w:rFonts w:ascii="楷体" w:eastAsia="楷体" w:hAnsi="楷体" w:cs="楷体"/>
                <w:sz w:val="24"/>
                <w:szCs w:val="24"/>
              </w:rPr>
            </w:pPr>
            <w:r>
              <w:rPr>
                <w:rFonts w:ascii="楷体" w:eastAsia="楷体" w:hAnsi="楷体" w:cs="楷体" w:hint="eastAsia"/>
                <w:sz w:val="24"/>
                <w:szCs w:val="24"/>
              </w:rPr>
              <w:t>为避免疑义，由授信抵扣追保金额的，追保违约事件为累计授信替代超出甲方对乙方的授信额度的情形，且乙方未按本协议约定及时向甲方支付追保金额。</w:t>
            </w:r>
          </w:p>
          <w:p w14:paraId="37E1E80F" w14:textId="77777777" w:rsidR="00FE777E" w:rsidRDefault="00627A08">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lang w:val="en-US"/>
              </w:rPr>
              <w:t>价格</w:t>
            </w:r>
            <w:r>
              <w:rPr>
                <w:rFonts w:ascii="楷体" w:eastAsia="楷体" w:hAnsi="楷体" w:cs="楷体" w:hint="eastAsia"/>
                <w:b/>
                <w:bCs/>
                <w:sz w:val="24"/>
                <w:szCs w:val="24"/>
              </w:rPr>
              <w:t>触发事件</w:t>
            </w:r>
            <w:r>
              <w:rPr>
                <w:rFonts w:ascii="楷体" w:eastAsia="楷体" w:hAnsi="楷体" w:cs="楷体" w:hint="eastAsia"/>
                <w:sz w:val="24"/>
                <w:szCs w:val="24"/>
              </w:rPr>
              <w:t>：由计算机构确定参考标的当前收盘价在任何一个营业日低于</w:t>
            </w:r>
            <w:r>
              <w:rPr>
                <w:rFonts w:ascii="楷体" w:eastAsia="楷体" w:hAnsi="楷体" w:cs="楷体" w:hint="eastAsia"/>
                <w:b/>
                <w:sz w:val="24"/>
                <w:szCs w:val="24"/>
              </w:rPr>
              <w:t>平仓线</w:t>
            </w:r>
            <w:r>
              <w:rPr>
                <w:rFonts w:ascii="楷体" w:eastAsia="楷体" w:hAnsi="楷体" w:cs="楷体" w:hint="eastAsia"/>
                <w:sz w:val="24"/>
                <w:szCs w:val="24"/>
              </w:rPr>
              <w:t>。</w:t>
            </w:r>
          </w:p>
          <w:p w14:paraId="70905F0A" w14:textId="77777777" w:rsidR="00FE777E" w:rsidRDefault="00627A08">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w:t>
            </w:r>
            <w:r>
              <w:rPr>
                <w:rFonts w:ascii="楷体" w:eastAsia="楷体" w:hAnsi="楷体" w:cs="楷体" w:hint="eastAsia"/>
                <w:b/>
                <w:sz w:val="24"/>
                <w:szCs w:val="24"/>
              </w:rPr>
              <w:t>平仓线</w:t>
            </w:r>
            <w:r>
              <w:rPr>
                <w:rFonts w:ascii="楷体" w:eastAsia="楷体" w:hAnsi="楷体" w:cs="楷体" w:hint="eastAsia"/>
                <w:sz w:val="24"/>
                <w:szCs w:val="24"/>
              </w:rPr>
              <w:t>”指参考标的期初价格×{{平仓线}}%。</w:t>
            </w:r>
          </w:p>
          <w:p w14:paraId="6D9AE96F" w14:textId="77777777" w:rsidR="00FE777E" w:rsidRDefault="00627A08">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未免疑义，如计算机构确定参考标的当前收盘价</w:t>
            </w:r>
            <w:r>
              <w:rPr>
                <w:rFonts w:ascii="楷体" w:eastAsia="楷体" w:hAnsi="楷体" w:cs="楷体" w:hint="eastAsia"/>
                <w:sz w:val="24"/>
                <w:szCs w:val="24"/>
              </w:rPr>
              <w:t>在任何一个营业日低于预警线，</w:t>
            </w:r>
            <w:r>
              <w:rPr>
                <w:rFonts w:ascii="楷体" w:eastAsia="楷体" w:hAnsi="楷体" w:cs="楷体" w:hint="eastAsia"/>
                <w:sz w:val="24"/>
                <w:szCs w:val="24"/>
                <w:lang w:val="en-US"/>
              </w:rPr>
              <w:t>应在不晚于该日（“</w:t>
            </w:r>
            <w:r>
              <w:rPr>
                <w:rFonts w:ascii="楷体" w:eastAsia="楷体" w:hAnsi="楷体" w:cs="楷体" w:hint="eastAsia"/>
                <w:b/>
                <w:bCs/>
                <w:sz w:val="24"/>
                <w:szCs w:val="24"/>
                <w:lang w:val="en-US"/>
              </w:rPr>
              <w:t>预警线触发日</w:t>
            </w:r>
            <w:r>
              <w:rPr>
                <w:rFonts w:ascii="楷体" w:eastAsia="楷体" w:hAnsi="楷体" w:cs="楷体" w:hint="eastAsia"/>
                <w:sz w:val="24"/>
                <w:szCs w:val="24"/>
                <w:lang w:val="en-US"/>
              </w:rPr>
              <w:t>”）后一个营业日以电子邮件形式通知乙方，该通知不作为甲方的风险提示义务。</w:t>
            </w:r>
          </w:p>
          <w:p w14:paraId="6AFA2941" w14:textId="77777777" w:rsidR="00FE777E" w:rsidRDefault="00627A08">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w:t>
            </w:r>
            <w:r>
              <w:rPr>
                <w:rFonts w:ascii="楷体" w:eastAsia="楷体" w:hAnsi="楷体" w:cs="楷体" w:hint="eastAsia"/>
                <w:b/>
                <w:bCs/>
                <w:sz w:val="24"/>
                <w:szCs w:val="24"/>
                <w:lang w:val="en-US"/>
              </w:rPr>
              <w:t>预警线</w:t>
            </w:r>
            <w:r>
              <w:rPr>
                <w:rFonts w:ascii="楷体" w:eastAsia="楷体" w:hAnsi="楷体" w:cs="楷体" w:hint="eastAsia"/>
                <w:sz w:val="24"/>
                <w:szCs w:val="24"/>
                <w:lang w:val="en-US"/>
              </w:rPr>
              <w:t>”指</w:t>
            </w:r>
            <w:r>
              <w:rPr>
                <w:rFonts w:ascii="楷体" w:eastAsia="楷体" w:hAnsi="楷体" w:cs="楷体" w:hint="eastAsia"/>
                <w:sz w:val="24"/>
                <w:szCs w:val="24"/>
              </w:rPr>
              <w:t>参考标的期初价格×</w:t>
            </w:r>
            <w:r>
              <w:rPr>
                <w:rFonts w:ascii="楷体" w:eastAsia="楷体" w:hAnsi="楷体" w:cs="楷体" w:hint="eastAsia"/>
                <w:sz w:val="24"/>
                <w:szCs w:val="24"/>
                <w:lang w:val="en-US"/>
              </w:rPr>
              <w:t>{{预警线}}%。</w:t>
            </w:r>
          </w:p>
          <w:p w14:paraId="1A0D8C0A" w14:textId="77777777" w:rsidR="00FE777E" w:rsidRDefault="00627A08">
            <w:pPr>
              <w:pStyle w:val="1"/>
              <w:numPr>
                <w:ilvl w:val="0"/>
                <w:numId w:val="8"/>
              </w:numPr>
              <w:spacing w:beforeLines="50" w:before="120" w:after="0" w:line="240" w:lineRule="auto"/>
              <w:jc w:val="both"/>
              <w:rPr>
                <w:rFonts w:ascii="楷体" w:eastAsia="楷体" w:hAnsi="楷体" w:cs="楷体"/>
                <w:sz w:val="24"/>
                <w:szCs w:val="24"/>
                <w:lang w:val="en-US"/>
              </w:rPr>
            </w:pPr>
            <w:r>
              <w:rPr>
                <w:rFonts w:ascii="楷体" w:eastAsia="楷体" w:hAnsi="楷体" w:cs="楷体" w:hint="eastAsia"/>
                <w:sz w:val="24"/>
                <w:szCs w:val="24"/>
              </w:rPr>
              <w:t>参考标的发生部分或全部提前赎回、提前偿还或类似事件。</w:t>
            </w:r>
          </w:p>
        </w:tc>
      </w:tr>
      <w:tr w:rsidR="00FE777E" w14:paraId="60E4E26E" w14:textId="77777777">
        <w:tc>
          <w:tcPr>
            <w:tcW w:w="2263" w:type="dxa"/>
          </w:tcPr>
          <w:p w14:paraId="7711D114" w14:textId="77777777" w:rsidR="00FE777E" w:rsidRDefault="00627A08">
            <w:pPr>
              <w:pStyle w:val="aa"/>
              <w:numPr>
                <w:ilvl w:val="0"/>
                <w:numId w:val="7"/>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提前终止通知</w:t>
            </w:r>
          </w:p>
        </w:tc>
        <w:tc>
          <w:tcPr>
            <w:tcW w:w="6033" w:type="dxa"/>
          </w:tcPr>
          <w:p w14:paraId="018EDDF0"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如果认定以上任何一项提前终止事件已经发生，甲方有权自主决定通过向乙方发送邮件通知的方式全部而非部分终止本交易，并在该邮件通知中载明提前终止日(“</w:t>
            </w:r>
            <w:r>
              <w:rPr>
                <w:rFonts w:ascii="楷体" w:eastAsia="楷体" w:hAnsi="楷体" w:cs="楷体" w:hint="eastAsia"/>
                <w:b/>
                <w:sz w:val="24"/>
                <w:szCs w:val="24"/>
              </w:rPr>
              <w:t>提前终止日</w:t>
            </w:r>
            <w:r>
              <w:rPr>
                <w:rFonts w:ascii="楷体" w:eastAsia="楷体" w:hAnsi="楷体" w:cs="楷体" w:hint="eastAsia"/>
                <w:sz w:val="24"/>
                <w:szCs w:val="24"/>
              </w:rPr>
              <w:t>”)。</w:t>
            </w:r>
          </w:p>
        </w:tc>
      </w:tr>
      <w:tr w:rsidR="00FE777E" w14:paraId="71488B7F" w14:textId="77777777">
        <w:tc>
          <w:tcPr>
            <w:tcW w:w="2263" w:type="dxa"/>
          </w:tcPr>
          <w:p w14:paraId="47CF702D" w14:textId="77777777" w:rsidR="00FE777E" w:rsidRDefault="00627A08">
            <w:pPr>
              <w:pStyle w:val="aa"/>
              <w:numPr>
                <w:ilvl w:val="0"/>
                <w:numId w:val="7"/>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乙方提前终止权</w:t>
            </w:r>
          </w:p>
        </w:tc>
        <w:tc>
          <w:tcPr>
            <w:tcW w:w="6033" w:type="dxa"/>
          </w:tcPr>
          <w:p w14:paraId="7C0F47F5" w14:textId="77777777" w:rsidR="00FE777E" w:rsidRDefault="00627A08">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本交易期间，乙方拟提前终止本交易的，应向甲方邮件发送交易指令，甲乙双方协商一致确定提前终止日。</w:t>
            </w:r>
          </w:p>
        </w:tc>
      </w:tr>
      <w:tr w:rsidR="00FE777E" w14:paraId="688D13DF" w14:textId="77777777">
        <w:tc>
          <w:tcPr>
            <w:tcW w:w="8296" w:type="dxa"/>
            <w:gridSpan w:val="2"/>
            <w:shd w:val="clear" w:color="auto" w:fill="D9D9D9" w:themeFill="background1" w:themeFillShade="D9"/>
          </w:tcPr>
          <w:p w14:paraId="071C6CF8" w14:textId="77777777" w:rsidR="00FE777E" w:rsidRDefault="00627A08">
            <w:pPr>
              <w:pStyle w:val="aa"/>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声明和保证</w:t>
            </w:r>
          </w:p>
        </w:tc>
      </w:tr>
      <w:tr w:rsidR="00FE777E" w14:paraId="53FA89DF" w14:textId="77777777">
        <w:tc>
          <w:tcPr>
            <w:tcW w:w="8296" w:type="dxa"/>
            <w:gridSpan w:val="2"/>
          </w:tcPr>
          <w:p w14:paraId="0740518B"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乙方保证，不通过挂钩标的变相投资于非标准化资产。不通过与其他衍生工具合约嵌套、拆分、组合形成非线性收益互换合约，变相开展场外期权业务。</w:t>
            </w:r>
          </w:p>
          <w:p w14:paraId="4984FAD1"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乙方从事本交易确认书项下交易未违反任何适用的法律、法规、规章项下的禁止性或限制性规定，乙方从事本交易确认书项下交易符合国家有关法律法规以及监管/主管部门的有关规定，并已经获得办理该交易的相关授权。乙方从事本交易确认书项下的交易所涉及资金、资产来源合法,且乙方不存在利用本交易从事规避法律法规相关要求及强制性规定的违规行为。</w:t>
            </w:r>
          </w:p>
          <w:p w14:paraId="0D96FC0B"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甲方提供本协议项下的服务合法合规的情况下，不因提供本协议项下的服务而遭受任何损害或被处罚或承担任何赔偿责任或义务(但乙方有证据证明非因乙方原因所导致的情形除外)。如发生上述情况，乙方将向甲方支付因应付任何与本协议相关之诉讼、起诉、监管处罚或调查而进行之调查、准备资料以及应诉、接受监管处罚而合理产生之所有合理费用(包括法律顾问费用)和损失。</w:t>
            </w:r>
          </w:p>
          <w:p w14:paraId="744FFCD9"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乙方保证，就拟开展的交易而言，其以及其自己的董事、高级职员、雇员或代理人或者其任何关联人士或者其任何关联人士的董事、高级职员、雇员或代理人（合称“</w:t>
            </w:r>
            <w:r>
              <w:rPr>
                <w:rFonts w:ascii="楷体" w:eastAsia="楷体" w:hAnsi="楷体" w:cs="楷体" w:hint="eastAsia"/>
                <w:b/>
                <w:bCs/>
                <w:sz w:val="24"/>
                <w:szCs w:val="24"/>
              </w:rPr>
              <w:t>相关人士</w:t>
            </w:r>
            <w:r>
              <w:rPr>
                <w:rFonts w:ascii="楷体" w:eastAsia="楷体" w:hAnsi="楷体" w:cs="楷体" w:hint="eastAsia"/>
                <w:sz w:val="24"/>
                <w:szCs w:val="24"/>
              </w:rPr>
              <w:t>”），并不拥有任何重要非公开信息，从而影响其达成交易或履行交易下义务的能力；其以及相关人士与参考标的或参考标的的任何相关人士无任何关系或关联，参考标的或参考标的的任何相关人士没有以任何方式为本交易提供任何资金。</w:t>
            </w:r>
          </w:p>
          <w:p w14:paraId="3BA3FC48"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乙方已充分了解并确认，在本交易确认书项下的交易中,甲方是乙方的交易对手，而不是乙方的财务顾问、代理人或受托人。</w:t>
            </w:r>
          </w:p>
          <w:p w14:paraId="1D121BEB"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同意，在乙方出现本交易确认书项下约定的违约事件或终止事件时，甲方有权提前终止本交易或处置乙方提交的期初预付金额、实际存续追保金额或履约保障品（如适用），该等经济损失皆由乙方承担。</w:t>
            </w:r>
          </w:p>
          <w:p w14:paraId="5AC5BDF7"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同意,甲方没有义务持有参考标的来对冲本交易下的风险。甲方是否选择对冲本收益互换交易下的风险与乙方无关。甲方可以根据其自身判断决定出于对冲风险的需要而进行本交易下参考标的的买入或卖出操作,或采取其他对冲风险的措施。甲方可以自主决定开始、中止或终止任何对冲交易。如甲方为对冲风险买入或卖出参考标的的，甲方享有与参考标的相关的任何权益，乙方不因本收益互换交易享有甲方对冲买入的参考标的或对冲交易的任何权益。甲方在行使参考标的名义持有人有权行使的任何权利（包括但不限于与参考标的有关的投票权）时，无需征询乙方的意见或根据乙方的指示行事。甲方对冲交易的对手方可能是甲方的</w:t>
            </w:r>
            <w:r>
              <w:rPr>
                <w:rFonts w:ascii="楷体" w:eastAsia="楷体" w:hAnsi="楷体" w:cs="楷体" w:hint="eastAsia"/>
                <w:sz w:val="24"/>
                <w:szCs w:val="24"/>
              </w:rPr>
              <w:lastRenderedPageBreak/>
              <w:t>关联方或者独立第三方。甲方和对冲交易对手方均有权但没有义务持有参考标的。如果甲方达成对冲交易，对冲交易的提前终止可能触发本交易的提前终止，与对冲交易或其达成、变更、补充、终止或提前终止相关的费用将在计算相关金额时进行扣减,由乙方最终承担。本交易到期或发生提前终止时，甲方有权参考对冲交易对手方在对冲交易下获取的报价或估值，以确定或调整相关金额。</w:t>
            </w:r>
          </w:p>
          <w:p w14:paraId="6F15A463"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乙方已充分理解甲方不对参考实体的信用风险提供任何承诺、保证和担保，甲方对因参考实体的原因导致乙方无法按时足额获得相关收益不承担任何责任。</w:t>
            </w:r>
          </w:p>
          <w:p w14:paraId="2C506D3E"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充分理解并同意,计算机构在计算、确定或作出相关判断时,具有裁量权；在遵循诚实信用及商业合理原则基础上，计算机构可以采用或参考对冲交易项下对冲交易对手方就相关事项所作出的计算、确定、或判断。</w:t>
            </w:r>
          </w:p>
          <w:p w14:paraId="247B9FFE"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乙方充分理解并同意,甲方不对乙方的实际交易意图及行为后果承担任何法律责任,且在乙方出现不当行为时，甲方有权单方决定终止本交易，由此产生的所有费用和损失由乙方承担。</w:t>
            </w:r>
          </w:p>
          <w:p w14:paraId="35B59D27" w14:textId="77777777" w:rsidR="00FE777E" w:rsidRDefault="00627A08">
            <w:pPr>
              <w:spacing w:beforeLines="50" w:before="120" w:after="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乙方的不当行为包括但不限于:</w:t>
            </w:r>
          </w:p>
          <w:p w14:paraId="135ABEC2" w14:textId="77777777" w:rsidR="00FE777E" w:rsidRDefault="00627A08">
            <w:pPr>
              <w:pStyle w:val="aa"/>
              <w:numPr>
                <w:ilvl w:val="3"/>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乙方单独或与他人合谋通过本交易方式或与其他方式配合进行市场操纵等扰乱金融市场的行为;</w:t>
            </w:r>
          </w:p>
          <w:p w14:paraId="1B54C6EF" w14:textId="77777777" w:rsidR="00FE777E" w:rsidRDefault="00627A08">
            <w:pPr>
              <w:pStyle w:val="aa"/>
              <w:numPr>
                <w:ilvl w:val="3"/>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乙方单独或与他人合谋利用内幕信息或价格敏感信息通过本交易方式或与其他方式配合进行内幕交易的行为;</w:t>
            </w:r>
          </w:p>
          <w:p w14:paraId="1E6089FB" w14:textId="77777777" w:rsidR="00FE777E" w:rsidRDefault="00627A08">
            <w:pPr>
              <w:pStyle w:val="aa"/>
              <w:numPr>
                <w:ilvl w:val="3"/>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乙方单独或与他人合谋通过本交易方式或与其他方式配合进行利益输送的行为;以及</w:t>
            </w:r>
          </w:p>
          <w:p w14:paraId="789A1CC6" w14:textId="77777777" w:rsidR="00FE777E" w:rsidRDefault="00627A08">
            <w:pPr>
              <w:pStyle w:val="aa"/>
              <w:numPr>
                <w:ilvl w:val="3"/>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其他法律、法规、监管规定、自律规则以及监管机构认为属于不正当的交易行为，或涉嫌违反有关法律、法规、监管规定、自律规则的行为。</w:t>
            </w:r>
          </w:p>
          <w:p w14:paraId="4B4ED9C8"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确认,甲方已就本交易确认书项下交易的各种风险因素(包括但不限于信用风险、市场风险、流动性风险、操作风险、法律风险等)向乙方作出了充分详细的披露和揭示。经自主和独立判断，乙方已经完全理解本交易确认书项下交易的条款和各种隐含风险，明确了解办理本交易确认书项下交易对乙方的法律、税务和财务会计影响,并确认办理本交易确认书项下交易符合乙方的交易目的。</w:t>
            </w:r>
          </w:p>
          <w:p w14:paraId="2B059F41"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乙方已了解本交易确认书项下交易的最差情况及最大潜在亏损，并对此具有足够的承受能力。乙方保证不以潜在风险为理由拖延或拒绝履行本交易确认书项下交易的各项义务。在极端情形下，本交易期间标的的市</w:t>
            </w:r>
          </w:p>
          <w:p w14:paraId="11BB530A" w14:textId="77777777" w:rsidR="00FE777E" w:rsidRDefault="00627A08">
            <w:pPr>
              <w:pStyle w:val="aa"/>
              <w:numPr>
                <w:ilvl w:val="255"/>
                <w:numId w:val="0"/>
              </w:numPr>
              <w:spacing w:beforeLines="50" w:before="120" w:after="0" w:line="240" w:lineRule="auto"/>
              <w:ind w:leftChars="218" w:left="480"/>
              <w:jc w:val="both"/>
              <w:rPr>
                <w:rFonts w:ascii="楷体" w:eastAsia="楷体" w:hAnsi="楷体" w:cs="楷体"/>
                <w:sz w:val="24"/>
                <w:szCs w:val="24"/>
              </w:rPr>
            </w:pPr>
            <w:r>
              <w:rPr>
                <w:rFonts w:ascii="楷体" w:eastAsia="楷体" w:hAnsi="楷体" w:cs="楷体" w:hint="eastAsia"/>
                <w:sz w:val="24"/>
                <w:szCs w:val="24"/>
              </w:rPr>
              <w:t>值可能</w:t>
            </w:r>
            <w:r>
              <w:rPr>
                <w:rFonts w:ascii="楷体" w:eastAsia="楷体" w:hAnsi="楷体" w:cs="楷体" w:hint="eastAsia"/>
                <w:sz w:val="24"/>
                <w:szCs w:val="24"/>
                <w:lang w:val="en-US"/>
              </w:rPr>
              <w:t>下跌</w:t>
            </w:r>
            <w:r>
              <w:rPr>
                <w:rFonts w:ascii="楷体" w:eastAsia="楷体" w:hAnsi="楷体" w:cs="楷体" w:hint="eastAsia"/>
                <w:sz w:val="24"/>
                <w:szCs w:val="24"/>
              </w:rPr>
              <w:t>较多，乙方需要承担全部的市值</w:t>
            </w:r>
            <w:r>
              <w:rPr>
                <w:rFonts w:ascii="楷体" w:eastAsia="楷体" w:hAnsi="楷体" w:cs="楷体" w:hint="eastAsia"/>
                <w:sz w:val="24"/>
                <w:szCs w:val="24"/>
                <w:lang w:val="en-US"/>
              </w:rPr>
              <w:t>下跌</w:t>
            </w:r>
            <w:r>
              <w:rPr>
                <w:rFonts w:ascii="楷体" w:eastAsia="楷体" w:hAnsi="楷体" w:cs="楷体" w:hint="eastAsia"/>
                <w:sz w:val="24"/>
                <w:szCs w:val="24"/>
              </w:rPr>
              <w:t>风险。在该等情形下，乙方的损失可能超过其已经支付的期初预付金金额和所有追加金额（如有）之和。由于各种风险因素的存在,乙方理解其参与交易的目的不一定能够实现,上述后果由乙方自行承担，甲方对此不提供担保也不承担任何责任。</w:t>
            </w:r>
          </w:p>
          <w:p w14:paraId="5A6D529D"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合法合规交易，不得指令甲方及其工作人员开展对冲交易，不得指令甲方及其工作人员使用乙方已缴存的保证金，如因其不当行为遭受处罚或损失的，乙方声明由其承担所有法律责任;由此给甲方带来损失的，乙方应给与完全赔付，包括但不限于甲方的经济、声誉损失。</w:t>
            </w:r>
          </w:p>
          <w:p w14:paraId="2F0742C7"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lastRenderedPageBreak/>
              <w:t>乙方充分理解并同意,乙方进行本交易并不代表乙方会名义或受益持有参考标的，且乙方不享有与参考标的相关的任何权益;但乙方作为甲方的交易对手，享有与参考标的表现相关的本交易确认书明确规定的相关经济收益。</w:t>
            </w:r>
          </w:p>
          <w:p w14:paraId="44999BCB" w14:textId="77777777" w:rsidR="00FE777E" w:rsidRDefault="00627A08">
            <w:pPr>
              <w:pStyle w:val="aa"/>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若在任何时间乙方的上述声明及保证变为不正确，乙方同意将立即通知甲方并且同意甲方在此情况下可以单方决定提前终止本交易。乙方所做上述声明、承诺和保证均为真实、准确、完整，不存在任何虚假记载、误导性陈述或者重大遗漏；乙方完全理解虚假声明可能导致的后果，自愿承担因违法违规行为产生的法律责任并接受交易所及相关主管部门的处理措施。</w:t>
            </w:r>
          </w:p>
        </w:tc>
      </w:tr>
      <w:tr w:rsidR="00FE777E" w14:paraId="75DACE48" w14:textId="77777777">
        <w:tc>
          <w:tcPr>
            <w:tcW w:w="8296" w:type="dxa"/>
            <w:gridSpan w:val="2"/>
            <w:shd w:val="clear" w:color="auto" w:fill="D9D9D9" w:themeFill="background1" w:themeFillShade="D9"/>
          </w:tcPr>
          <w:p w14:paraId="4D8802A8" w14:textId="77777777" w:rsidR="00FE777E" w:rsidRDefault="00627A08">
            <w:pPr>
              <w:pStyle w:val="1"/>
              <w:spacing w:beforeLines="50" w:before="120" w:after="0" w:line="240" w:lineRule="auto"/>
              <w:ind w:left="0"/>
              <w:rPr>
                <w:rFonts w:ascii="楷体" w:eastAsia="楷体" w:hAnsi="楷体" w:cs="楷体"/>
                <w:b/>
                <w:bCs/>
                <w:sz w:val="24"/>
                <w:szCs w:val="24"/>
              </w:rPr>
            </w:pPr>
            <w:r>
              <w:rPr>
                <w:rFonts w:ascii="楷体" w:eastAsia="楷体" w:hAnsi="楷体" w:cs="楷体" w:hint="eastAsia"/>
                <w:b/>
                <w:bCs/>
                <w:sz w:val="24"/>
                <w:szCs w:val="24"/>
              </w:rPr>
              <w:lastRenderedPageBreak/>
              <w:t>账户信息和联系方式：</w:t>
            </w:r>
            <w:r>
              <w:rPr>
                <w:rFonts w:ascii="楷体" w:eastAsia="楷体" w:hAnsi="楷体" w:cs="楷体" w:hint="eastAsia"/>
                <w:sz w:val="24"/>
                <w:szCs w:val="24"/>
              </w:rPr>
              <w:t>见附件一</w:t>
            </w:r>
          </w:p>
        </w:tc>
      </w:tr>
    </w:tbl>
    <w:p w14:paraId="66288588" w14:textId="77777777" w:rsidR="00FE777E" w:rsidRDefault="00627A08">
      <w:pPr>
        <w:pStyle w:val="1"/>
        <w:spacing w:beforeLines="50" w:before="120" w:after="0" w:line="240" w:lineRule="auto"/>
        <w:ind w:left="0" w:firstLineChars="200" w:firstLine="482"/>
        <w:rPr>
          <w:rFonts w:ascii="楷体" w:eastAsia="楷体" w:hAnsi="楷体" w:cs="楷体"/>
          <w:b/>
          <w:bCs/>
          <w:sz w:val="24"/>
          <w:szCs w:val="24"/>
        </w:rPr>
      </w:pPr>
      <w:r>
        <w:rPr>
          <w:rFonts w:ascii="楷体" w:eastAsia="楷体" w:hAnsi="楷体" w:cs="楷体" w:hint="eastAsia"/>
          <w:b/>
          <w:bCs/>
          <w:sz w:val="24"/>
          <w:szCs w:val="24"/>
        </w:rPr>
        <w:t>反商业贿赂条款</w:t>
      </w:r>
    </w:p>
    <w:p w14:paraId="3B97A978" w14:textId="77777777" w:rsidR="00FE777E" w:rsidRDefault="00627A08">
      <w:pPr>
        <w:spacing w:beforeLines="50" w:before="120" w:after="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反商业贿赂条款是本协议之必备条款，与本协议其他条款具有同等法律效力，本协议各方已认真阅读如下反商业贿赂条款并同意遵守：</w:t>
      </w:r>
    </w:p>
    <w:p w14:paraId="444D2C1F" w14:textId="77777777" w:rsidR="00FE777E" w:rsidRDefault="00627A08">
      <w:pPr>
        <w:pStyle w:val="aa"/>
        <w:numPr>
          <w:ilvl w:val="0"/>
          <w:numId w:val="11"/>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清楚并承诺会严格遵守《刑法》、《反不正当竞争法》、《证券法》、《公司法》等有关反商业贿赂和商业犯罪相关的法律法规，各方都理解任何形式的贿赂和贪渎行为都将触犯法律，并将受到法律的严惩。</w:t>
      </w:r>
    </w:p>
    <w:p w14:paraId="5FA27EB2" w14:textId="77777777" w:rsidR="00FE777E" w:rsidRDefault="00627A08">
      <w:pPr>
        <w:pStyle w:val="aa"/>
        <w:numPr>
          <w:ilvl w:val="0"/>
          <w:numId w:val="11"/>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不得向对方、对方工作人员或其他利益关系人索要、收受、提供、给予协议约定外的任何物质或者非物质利益，包括但不限于明扣、暗扣、现金、房产、股权、支付凭证（如购物卡、消费卡、提货券等）、实物、有价证券、旅游、宴请、赞助、工作安排等，或为上述行为提供代持等便利。但如该等利益不违反法律法规之规定且属于行业惯例或通常做法，则须在协议中明示。</w:t>
      </w:r>
    </w:p>
    <w:p w14:paraId="77E35FE8" w14:textId="77777777" w:rsidR="00FE777E" w:rsidRDefault="00627A08">
      <w:pPr>
        <w:pStyle w:val="aa"/>
        <w:numPr>
          <w:ilvl w:val="0"/>
          <w:numId w:val="11"/>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确认，本协议任一方均严格禁止己方经办人员的任何商业贿赂行为。本协议任一方经办人员发生本条第二款所列示的任何一种行为，都是违反该方内部规章制度的，都将受到该方内部规章制度和国家法律的惩处。</w:t>
      </w:r>
    </w:p>
    <w:p w14:paraId="68E3410A" w14:textId="77777777" w:rsidR="00FE777E" w:rsidRDefault="00627A08">
      <w:pPr>
        <w:pStyle w:val="aa"/>
        <w:numPr>
          <w:ilvl w:val="0"/>
          <w:numId w:val="11"/>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反对任何一方、任何一方工作人员或其他利益关系人为了本协议之目的与本协议以外的任何第三方发生本条第二款所列示的任何贿赂行为。各方承诺将合法合规地履行本协议，并向对方完整披露相关情况。任何一方、任何一方工作人员或其他利益关系人违反上述条款之规定，给对方造成损失的，应承担损害赔偿责任。涉嫌犯罪的，移交司法机关追究刑事责任。</w:t>
      </w:r>
    </w:p>
    <w:p w14:paraId="7142FCEA" w14:textId="77777777" w:rsidR="00FE777E" w:rsidRDefault="00FE777E">
      <w:pPr>
        <w:pStyle w:val="1"/>
        <w:spacing w:beforeLines="50" w:before="120" w:after="0" w:line="240" w:lineRule="auto"/>
        <w:ind w:left="357"/>
        <w:rPr>
          <w:rFonts w:ascii="楷体" w:eastAsia="楷体" w:hAnsi="楷体" w:cs="楷体"/>
          <w:b/>
          <w:bCs/>
          <w:sz w:val="24"/>
          <w:szCs w:val="24"/>
        </w:rPr>
      </w:pPr>
    </w:p>
    <w:p w14:paraId="31ED8682" w14:textId="77777777" w:rsidR="00FE777E" w:rsidRDefault="00627A08">
      <w:pPr>
        <w:spacing w:line="240" w:lineRule="auto"/>
        <w:rPr>
          <w:rFonts w:ascii="楷体" w:eastAsia="楷体" w:hAnsi="楷体" w:cs="楷体"/>
          <w:sz w:val="24"/>
          <w:szCs w:val="24"/>
          <w:lang w:val="en-GB"/>
        </w:rPr>
      </w:pPr>
      <w:r>
        <w:rPr>
          <w:rFonts w:ascii="楷体" w:eastAsia="楷体" w:hAnsi="楷体" w:cs="楷体" w:hint="eastAsia"/>
          <w:sz w:val="24"/>
          <w:szCs w:val="24"/>
          <w:lang w:val="en-GB"/>
        </w:rPr>
        <w:t>（以下无正文）</w:t>
      </w:r>
    </w:p>
    <w:p w14:paraId="004DF97B" w14:textId="77777777" w:rsidR="00FE777E" w:rsidRDefault="00627A08">
      <w:pPr>
        <w:spacing w:after="0" w:line="240" w:lineRule="auto"/>
        <w:rPr>
          <w:rFonts w:ascii="楷体" w:eastAsia="楷体" w:hAnsi="楷体" w:cs="楷体"/>
          <w:b/>
          <w:bCs/>
          <w:color w:val="000000"/>
          <w:sz w:val="20"/>
          <w:szCs w:val="20"/>
          <w:u w:val="single"/>
          <w:lang w:val="en-GB"/>
        </w:rPr>
      </w:pPr>
      <w:r>
        <w:rPr>
          <w:rFonts w:ascii="楷体" w:eastAsia="楷体" w:hAnsi="楷体" w:cs="楷体" w:hint="eastAsia"/>
          <w:b/>
          <w:bCs/>
          <w:color w:val="000000"/>
          <w:sz w:val="20"/>
          <w:szCs w:val="20"/>
          <w:u w:val="single"/>
          <w:lang w:val="en-GB"/>
        </w:rPr>
        <w:br w:type="page"/>
      </w:r>
    </w:p>
    <w:p w14:paraId="4A688567" w14:textId="77777777" w:rsidR="00FE777E" w:rsidRDefault="00627A08">
      <w:pPr>
        <w:spacing w:beforeLines="50" w:before="120" w:afterLines="50" w:after="120" w:line="240" w:lineRule="auto"/>
        <w:jc w:val="center"/>
        <w:outlineLvl w:val="0"/>
        <w:rPr>
          <w:rFonts w:ascii="楷体" w:eastAsia="楷体" w:hAnsi="楷体" w:cs="楷体"/>
          <w:b/>
          <w:bCs/>
          <w:sz w:val="24"/>
          <w:szCs w:val="24"/>
        </w:rPr>
      </w:pPr>
      <w:r>
        <w:rPr>
          <w:rFonts w:ascii="楷体" w:eastAsia="楷体" w:hAnsi="楷体" w:cs="楷体" w:hint="eastAsia"/>
          <w:b/>
          <w:bCs/>
          <w:sz w:val="24"/>
          <w:szCs w:val="24"/>
        </w:rPr>
        <w:lastRenderedPageBreak/>
        <w:t>【附件一】 交易要素确认表</w:t>
      </w:r>
    </w:p>
    <w:p w14:paraId="26D29038" w14:textId="77777777" w:rsidR="00FE777E" w:rsidRDefault="00627A08">
      <w:pPr>
        <w:spacing w:before="156" w:line="240" w:lineRule="auto"/>
        <w:rPr>
          <w:rFonts w:ascii="楷体" w:eastAsia="楷体" w:hAnsi="楷体" w:cs="楷体"/>
          <w:sz w:val="24"/>
          <w:szCs w:val="24"/>
        </w:rPr>
      </w:pPr>
      <w:r>
        <w:rPr>
          <w:rFonts w:ascii="楷体" w:eastAsia="楷体" w:hAnsi="楷体" w:cs="楷体" w:hint="eastAsia"/>
          <w:sz w:val="24"/>
          <w:szCs w:val="24"/>
        </w:rPr>
        <w:t xml:space="preserve">甲方：国联民生证券股份有限公司  </w:t>
      </w:r>
    </w:p>
    <w:p w14:paraId="76F3875C" w14:textId="77777777" w:rsidR="00FE777E" w:rsidRDefault="00627A08">
      <w:pPr>
        <w:spacing w:before="156" w:line="240" w:lineRule="auto"/>
        <w:rPr>
          <w:rFonts w:ascii="楷体" w:eastAsia="楷体" w:hAnsi="楷体" w:cs="楷体"/>
          <w:sz w:val="24"/>
          <w:szCs w:val="24"/>
        </w:rPr>
      </w:pPr>
      <w:r>
        <w:rPr>
          <w:rFonts w:ascii="楷体" w:eastAsia="楷体" w:hAnsi="楷体" w:cs="楷体" w:hint="eastAsia"/>
          <w:sz w:val="24"/>
          <w:szCs w:val="24"/>
        </w:rPr>
        <w:t>乙方：{{客户名称}}</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925"/>
      </w:tblGrid>
      <w:tr w:rsidR="00FE777E" w14:paraId="28A31804" w14:textId="77777777">
        <w:trPr>
          <w:trHeight w:val="353"/>
          <w:jc w:val="center"/>
        </w:trPr>
        <w:tc>
          <w:tcPr>
            <w:tcW w:w="2830" w:type="dxa"/>
            <w:tcBorders>
              <w:top w:val="single" w:sz="4" w:space="0" w:color="auto"/>
              <w:left w:val="single" w:sz="4" w:space="0" w:color="auto"/>
              <w:bottom w:val="single" w:sz="4" w:space="0" w:color="auto"/>
              <w:right w:val="single" w:sz="4" w:space="0" w:color="auto"/>
            </w:tcBorders>
          </w:tcPr>
          <w:p w14:paraId="779CDE83" w14:textId="77777777" w:rsidR="00FE777E" w:rsidRDefault="00627A08">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交易编号</w:t>
            </w:r>
          </w:p>
        </w:tc>
        <w:tc>
          <w:tcPr>
            <w:tcW w:w="4925" w:type="dxa"/>
            <w:tcBorders>
              <w:top w:val="single" w:sz="4" w:space="0" w:color="auto"/>
              <w:left w:val="single" w:sz="4" w:space="0" w:color="auto"/>
              <w:bottom w:val="single" w:sz="4" w:space="0" w:color="auto"/>
              <w:right w:val="single" w:sz="4" w:space="0" w:color="auto"/>
            </w:tcBorders>
          </w:tcPr>
          <w:p w14:paraId="58113ECD" w14:textId="77777777" w:rsidR="00FE777E" w:rsidRDefault="00627A08">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【{{合同编号}}】</w:t>
            </w:r>
          </w:p>
        </w:tc>
      </w:tr>
      <w:tr w:rsidR="00FE777E" w14:paraId="4919F45A"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13DD0741"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交易达成日</w:t>
            </w:r>
          </w:p>
        </w:tc>
        <w:tc>
          <w:tcPr>
            <w:tcW w:w="4925" w:type="dxa"/>
            <w:tcBorders>
              <w:top w:val="single" w:sz="4" w:space="0" w:color="auto"/>
              <w:left w:val="single" w:sz="4" w:space="0" w:color="auto"/>
              <w:bottom w:val="single" w:sz="4" w:space="0" w:color="auto"/>
              <w:right w:val="single" w:sz="4" w:space="0" w:color="auto"/>
            </w:tcBorders>
          </w:tcPr>
          <w:p w14:paraId="216C0C20" w14:textId="77777777" w:rsidR="00FE777E" w:rsidRDefault="00627A08">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{{成交日期}}</w:t>
            </w:r>
          </w:p>
        </w:tc>
      </w:tr>
      <w:tr w:rsidR="00FE777E" w14:paraId="1CBE6771"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3BFFA8A"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起始日</w:t>
            </w:r>
          </w:p>
        </w:tc>
        <w:tc>
          <w:tcPr>
            <w:tcW w:w="4925" w:type="dxa"/>
            <w:tcBorders>
              <w:top w:val="single" w:sz="4" w:space="0" w:color="auto"/>
              <w:left w:val="single" w:sz="4" w:space="0" w:color="auto"/>
              <w:bottom w:val="single" w:sz="4" w:space="0" w:color="auto"/>
              <w:right w:val="single" w:sz="4" w:space="0" w:color="auto"/>
            </w:tcBorders>
          </w:tcPr>
          <w:p w14:paraId="76FB2B70" w14:textId="77777777" w:rsidR="00FE777E" w:rsidRDefault="00627A08">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{{开始日期}}</w:t>
            </w:r>
          </w:p>
        </w:tc>
      </w:tr>
      <w:tr w:rsidR="00FE777E" w14:paraId="5277EBBA"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4F93285A"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预计到期日</w:t>
            </w:r>
          </w:p>
        </w:tc>
        <w:tc>
          <w:tcPr>
            <w:tcW w:w="4925" w:type="dxa"/>
            <w:tcBorders>
              <w:top w:val="single" w:sz="4" w:space="0" w:color="auto"/>
              <w:left w:val="single" w:sz="4" w:space="0" w:color="auto"/>
              <w:bottom w:val="single" w:sz="4" w:space="0" w:color="auto"/>
              <w:right w:val="single" w:sz="4" w:space="0" w:color="auto"/>
            </w:tcBorders>
          </w:tcPr>
          <w:p w14:paraId="5B7FD76A" w14:textId="77777777" w:rsidR="00FE777E" w:rsidRDefault="00627A08">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{{到期日期}}</w:t>
            </w:r>
          </w:p>
        </w:tc>
      </w:tr>
      <w:tr w:rsidR="00FE777E" w14:paraId="3E322F7E"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5D9B1FD3"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期初观察日</w:t>
            </w:r>
          </w:p>
        </w:tc>
        <w:tc>
          <w:tcPr>
            <w:tcW w:w="4925" w:type="dxa"/>
            <w:tcBorders>
              <w:top w:val="single" w:sz="4" w:space="0" w:color="auto"/>
              <w:left w:val="single" w:sz="4" w:space="0" w:color="auto"/>
              <w:bottom w:val="single" w:sz="4" w:space="0" w:color="auto"/>
              <w:right w:val="single" w:sz="4" w:space="0" w:color="auto"/>
            </w:tcBorders>
          </w:tcPr>
          <w:p w14:paraId="2320D904" w14:textId="77777777" w:rsidR="00FE777E" w:rsidRDefault="00627A08">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{{期初观察日}}</w:t>
            </w:r>
          </w:p>
        </w:tc>
      </w:tr>
      <w:tr w:rsidR="00FE777E" w14:paraId="2BC889F3"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2654C1BA"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期末观察日</w:t>
            </w:r>
          </w:p>
        </w:tc>
        <w:tc>
          <w:tcPr>
            <w:tcW w:w="4925" w:type="dxa"/>
            <w:tcBorders>
              <w:top w:val="single" w:sz="4" w:space="0" w:color="auto"/>
              <w:left w:val="single" w:sz="4" w:space="0" w:color="auto"/>
              <w:bottom w:val="single" w:sz="4" w:space="0" w:color="auto"/>
              <w:right w:val="single" w:sz="4" w:space="0" w:color="auto"/>
            </w:tcBorders>
          </w:tcPr>
          <w:p w14:paraId="1C98C4F4" w14:textId="77777777" w:rsidR="00FE777E" w:rsidRDefault="00627A08">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{{期末观察日}}</w:t>
            </w:r>
          </w:p>
        </w:tc>
      </w:tr>
      <w:tr w:rsidR="00FE777E" w14:paraId="2FA52441"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476109CA"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w:t>
            </w:r>
          </w:p>
        </w:tc>
        <w:tc>
          <w:tcPr>
            <w:tcW w:w="4925" w:type="dxa"/>
            <w:tcBorders>
              <w:top w:val="single" w:sz="4" w:space="0" w:color="auto"/>
              <w:left w:val="single" w:sz="4" w:space="0" w:color="auto"/>
              <w:bottom w:val="single" w:sz="4" w:space="0" w:color="auto"/>
              <w:right w:val="single" w:sz="4" w:space="0" w:color="auto"/>
            </w:tcBorders>
          </w:tcPr>
          <w:p w14:paraId="049884B0" w14:textId="77777777" w:rsidR="00A96293" w:rsidRPr="00A96293" w:rsidRDefault="00627A08" w:rsidP="00A96293">
            <w:pPr>
              <w:snapToGrid w:val="0"/>
              <w:spacing w:after="0" w:line="240" w:lineRule="auto"/>
              <w:jc w:val="both"/>
              <w:rPr>
                <w:rFonts w:ascii="楷体" w:eastAsia="楷体" w:hAnsi="楷体" w:cs="楷体"/>
                <w:sz w:val="24"/>
                <w:szCs w:val="24"/>
                <w:lang w:val="en-US"/>
              </w:rPr>
            </w:pPr>
            <w:r>
              <w:rPr>
                <w:rFonts w:ascii="楷体" w:eastAsia="楷体" w:hAnsi="楷体" w:cs="楷体" w:hint="eastAsia"/>
                <w:sz w:val="24"/>
                <w:szCs w:val="24"/>
              </w:rPr>
              <w:t>参考标的证券全称：【</w:t>
            </w:r>
            <w:r w:rsidR="00A96293" w:rsidRPr="00A96293">
              <w:rPr>
                <w:rFonts w:ascii="楷体" w:eastAsia="楷体" w:hAnsi="楷体" w:cs="楷体"/>
                <w:sz w:val="24"/>
                <w:szCs w:val="24"/>
                <w:lang w:val="en-US"/>
              </w:rPr>
              <w:t>{{参考标的证券全称}}</w:t>
            </w:r>
          </w:p>
          <w:p w14:paraId="70C17467" w14:textId="6A26FB0C" w:rsidR="00FE777E" w:rsidRDefault="00627A08">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w:t>
            </w:r>
          </w:p>
          <w:p w14:paraId="489B9472" w14:textId="77777777" w:rsidR="00FE777E" w:rsidRDefault="00627A08">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 xml:space="preserve">参考标的证券代码：【{{标的代码}}】  </w:t>
            </w:r>
          </w:p>
          <w:p w14:paraId="139AAB2A" w14:textId="77777777" w:rsidR="00FE777E" w:rsidRDefault="00627A08">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基金管理人：【{{</w:t>
            </w:r>
            <w:r>
              <w:rPr>
                <w:rFonts w:ascii="楷体" w:eastAsia="楷体" w:hAnsi="楷体" w:cs="楷体" w:hint="eastAsia"/>
                <w:sz w:val="24"/>
                <w:szCs w:val="24"/>
                <w:lang w:val="en-US"/>
              </w:rPr>
              <w:t>参考标的基金管理人</w:t>
            </w:r>
            <w:r>
              <w:rPr>
                <w:rFonts w:ascii="楷体" w:eastAsia="楷体" w:hAnsi="楷体" w:cs="楷体" w:hint="eastAsia"/>
                <w:sz w:val="24"/>
                <w:szCs w:val="24"/>
              </w:rPr>
              <w:t xml:space="preserve">}}】 </w:t>
            </w:r>
          </w:p>
        </w:tc>
      </w:tr>
      <w:tr w:rsidR="00FE777E" w14:paraId="3484F1EA"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6D6C9BB7"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名义本金</w:t>
            </w:r>
          </w:p>
        </w:tc>
        <w:tc>
          <w:tcPr>
            <w:tcW w:w="4925" w:type="dxa"/>
            <w:tcBorders>
              <w:top w:val="single" w:sz="4" w:space="0" w:color="auto"/>
              <w:left w:val="single" w:sz="4" w:space="0" w:color="auto"/>
              <w:bottom w:val="single" w:sz="4" w:space="0" w:color="auto"/>
              <w:right w:val="single" w:sz="4" w:space="0" w:color="auto"/>
            </w:tcBorders>
          </w:tcPr>
          <w:p w14:paraId="7A9EADF8"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【{{名义本金}}】元人民币</w:t>
            </w:r>
          </w:p>
        </w:tc>
      </w:tr>
      <w:tr w:rsidR="00FE777E" w14:paraId="001B6716"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6B416A5C"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参考标的名义份额</w:t>
            </w:r>
          </w:p>
        </w:tc>
        <w:tc>
          <w:tcPr>
            <w:tcW w:w="4925" w:type="dxa"/>
            <w:tcBorders>
              <w:top w:val="single" w:sz="4" w:space="0" w:color="auto"/>
              <w:left w:val="single" w:sz="4" w:space="0" w:color="auto"/>
              <w:bottom w:val="single" w:sz="4" w:space="0" w:color="auto"/>
              <w:right w:val="single" w:sz="4" w:space="0" w:color="auto"/>
            </w:tcBorders>
          </w:tcPr>
          <w:p w14:paraId="479A28C8" w14:textId="77777777" w:rsidR="00FE777E" w:rsidRDefault="00627A08">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【{{参考标的名义份额}}】份</w:t>
            </w:r>
          </w:p>
        </w:tc>
      </w:tr>
      <w:tr w:rsidR="00FE777E" w14:paraId="6A2AE888"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364E7615"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参考标的期初价格</w:t>
            </w:r>
          </w:p>
        </w:tc>
        <w:tc>
          <w:tcPr>
            <w:tcW w:w="4925" w:type="dxa"/>
            <w:tcBorders>
              <w:top w:val="single" w:sz="4" w:space="0" w:color="auto"/>
              <w:left w:val="single" w:sz="4" w:space="0" w:color="auto"/>
              <w:bottom w:val="single" w:sz="4" w:space="0" w:color="auto"/>
              <w:right w:val="single" w:sz="4" w:space="0" w:color="auto"/>
            </w:tcBorders>
          </w:tcPr>
          <w:p w14:paraId="7B14DB38" w14:textId="77777777" w:rsidR="00FE777E" w:rsidRDefault="00627A08">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【{{参考标的期初全价}}】</w:t>
            </w:r>
          </w:p>
        </w:tc>
      </w:tr>
      <w:tr w:rsidR="00FE777E" w14:paraId="5EDB4F87"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B27868C"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期初预付比例</w:t>
            </w:r>
          </w:p>
        </w:tc>
        <w:tc>
          <w:tcPr>
            <w:tcW w:w="4925" w:type="dxa"/>
            <w:tcBorders>
              <w:top w:val="single" w:sz="4" w:space="0" w:color="auto"/>
              <w:left w:val="single" w:sz="4" w:space="0" w:color="auto"/>
              <w:bottom w:val="single" w:sz="4" w:space="0" w:color="auto"/>
              <w:right w:val="single" w:sz="4" w:space="0" w:color="auto"/>
            </w:tcBorders>
          </w:tcPr>
          <w:p w14:paraId="066153DF"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【{{期初预付比例}}】%</w:t>
            </w:r>
          </w:p>
        </w:tc>
      </w:tr>
      <w:tr w:rsidR="00FE777E" w14:paraId="5AB83A36"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1E86CCC1"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期初预付金额</w:t>
            </w:r>
          </w:p>
        </w:tc>
        <w:tc>
          <w:tcPr>
            <w:tcW w:w="4925" w:type="dxa"/>
            <w:tcBorders>
              <w:top w:val="single" w:sz="4" w:space="0" w:color="auto"/>
              <w:left w:val="single" w:sz="4" w:space="0" w:color="auto"/>
              <w:bottom w:val="single" w:sz="4" w:space="0" w:color="auto"/>
              <w:right w:val="single" w:sz="4" w:space="0" w:color="auto"/>
            </w:tcBorders>
          </w:tcPr>
          <w:p w14:paraId="3469D25E"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【{{期初预付金额}}】元人民币</w:t>
            </w:r>
          </w:p>
        </w:tc>
      </w:tr>
      <w:tr w:rsidR="00FE777E" w14:paraId="3A7FF627"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689E1031"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期初预付金利率</w:t>
            </w:r>
          </w:p>
        </w:tc>
        <w:tc>
          <w:tcPr>
            <w:tcW w:w="4925" w:type="dxa"/>
            <w:tcBorders>
              <w:top w:val="single" w:sz="4" w:space="0" w:color="auto"/>
              <w:left w:val="single" w:sz="4" w:space="0" w:color="auto"/>
              <w:bottom w:val="single" w:sz="4" w:space="0" w:color="auto"/>
              <w:right w:val="single" w:sz="4" w:space="0" w:color="auto"/>
            </w:tcBorders>
          </w:tcPr>
          <w:p w14:paraId="12E01B32"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【{{期初预付金利率}}】%</w:t>
            </w:r>
          </w:p>
        </w:tc>
      </w:tr>
      <w:tr w:rsidR="00FE777E" w14:paraId="649D826A"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5A12F75B"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期初现金交换比例</w:t>
            </w:r>
          </w:p>
        </w:tc>
        <w:tc>
          <w:tcPr>
            <w:tcW w:w="4925" w:type="dxa"/>
            <w:tcBorders>
              <w:top w:val="single" w:sz="4" w:space="0" w:color="auto"/>
              <w:left w:val="single" w:sz="4" w:space="0" w:color="auto"/>
              <w:bottom w:val="single" w:sz="4" w:space="0" w:color="auto"/>
              <w:right w:val="single" w:sz="4" w:space="0" w:color="auto"/>
            </w:tcBorders>
          </w:tcPr>
          <w:p w14:paraId="24A838F3" w14:textId="77777777" w:rsidR="00FE777E" w:rsidRDefault="00627A08">
            <w:pPr>
              <w:snapToGrid w:val="0"/>
              <w:spacing w:after="0" w:line="240" w:lineRule="auto"/>
              <w:rPr>
                <w:rFonts w:ascii="楷体" w:eastAsia="楷体" w:hAnsi="楷体" w:cs="楷体"/>
                <w:bCs/>
                <w:sz w:val="24"/>
                <w:szCs w:val="20"/>
              </w:rPr>
            </w:pPr>
            <w:r>
              <w:rPr>
                <w:rFonts w:ascii="楷体" w:eastAsia="楷体" w:hAnsi="楷体" w:cs="楷体" w:hint="eastAsia"/>
                <w:sz w:val="24"/>
                <w:szCs w:val="24"/>
              </w:rPr>
              <w:t>【0.00】%</w:t>
            </w:r>
          </w:p>
        </w:tc>
      </w:tr>
      <w:tr w:rsidR="00FE777E" w14:paraId="18B342A4"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9A108EF"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期初现金交换金额</w:t>
            </w:r>
          </w:p>
        </w:tc>
        <w:tc>
          <w:tcPr>
            <w:tcW w:w="4925" w:type="dxa"/>
            <w:tcBorders>
              <w:top w:val="single" w:sz="4" w:space="0" w:color="auto"/>
              <w:left w:val="single" w:sz="4" w:space="0" w:color="auto"/>
              <w:bottom w:val="single" w:sz="4" w:space="0" w:color="auto"/>
              <w:right w:val="single" w:sz="4" w:space="0" w:color="auto"/>
            </w:tcBorders>
          </w:tcPr>
          <w:p w14:paraId="01E065EF" w14:textId="77777777" w:rsidR="00FE777E" w:rsidRDefault="00627A08">
            <w:pPr>
              <w:snapToGrid w:val="0"/>
              <w:spacing w:after="0" w:line="240" w:lineRule="auto"/>
              <w:rPr>
                <w:rFonts w:ascii="楷体" w:eastAsia="楷体" w:hAnsi="楷体" w:cs="楷体"/>
                <w:bCs/>
                <w:sz w:val="24"/>
                <w:szCs w:val="20"/>
              </w:rPr>
            </w:pPr>
            <w:r>
              <w:rPr>
                <w:rFonts w:ascii="楷体" w:eastAsia="楷体" w:hAnsi="楷体" w:cs="楷体" w:hint="eastAsia"/>
                <w:sz w:val="24"/>
                <w:szCs w:val="24"/>
              </w:rPr>
              <w:t>【0】元人民币</w:t>
            </w:r>
          </w:p>
        </w:tc>
      </w:tr>
      <w:tr w:rsidR="00FE777E" w14:paraId="2C4AAA7F"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1045A1"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固定收益率（年化）</w:t>
            </w:r>
          </w:p>
        </w:tc>
        <w:tc>
          <w:tcPr>
            <w:tcW w:w="4925" w:type="dxa"/>
            <w:tcBorders>
              <w:top w:val="single" w:sz="4" w:space="0" w:color="auto"/>
              <w:left w:val="single" w:sz="4" w:space="0" w:color="auto"/>
              <w:bottom w:val="single" w:sz="4" w:space="0" w:color="auto"/>
              <w:right w:val="single" w:sz="4" w:space="0" w:color="auto"/>
            </w:tcBorders>
            <w:vAlign w:val="center"/>
          </w:tcPr>
          <w:p w14:paraId="7B4BF6DE" w14:textId="77777777" w:rsidR="00FE777E" w:rsidRDefault="00627A08">
            <w:pPr>
              <w:snapToGrid w:val="0"/>
              <w:spacing w:after="0" w:line="240" w:lineRule="auto"/>
              <w:rPr>
                <w:rFonts w:ascii="楷体" w:eastAsia="楷体" w:hAnsi="楷体" w:cs="楷体"/>
                <w:bCs/>
                <w:sz w:val="24"/>
                <w:szCs w:val="20"/>
              </w:rPr>
            </w:pPr>
            <w:r>
              <w:rPr>
                <w:rFonts w:ascii="楷体" w:eastAsia="楷体" w:hAnsi="楷体" w:cs="楷体" w:hint="eastAsia"/>
                <w:sz w:val="24"/>
                <w:szCs w:val="24"/>
              </w:rPr>
              <w:t>【{{固定收益率}}】%</w:t>
            </w:r>
          </w:p>
        </w:tc>
      </w:tr>
      <w:tr w:rsidR="00FE777E" w14:paraId="306B1884"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477B89C0"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利率类型</w:t>
            </w:r>
          </w:p>
        </w:tc>
        <w:tc>
          <w:tcPr>
            <w:tcW w:w="4925" w:type="dxa"/>
            <w:tcBorders>
              <w:top w:val="single" w:sz="4" w:space="0" w:color="auto"/>
              <w:left w:val="single" w:sz="4" w:space="0" w:color="auto"/>
              <w:bottom w:val="single" w:sz="4" w:space="0" w:color="auto"/>
              <w:right w:val="single" w:sz="4" w:space="0" w:color="auto"/>
            </w:tcBorders>
          </w:tcPr>
          <w:p w14:paraId="69606CC1" w14:textId="77777777" w:rsidR="00FE777E" w:rsidRDefault="00627A08">
            <w:pPr>
              <w:snapToGrid w:val="0"/>
              <w:spacing w:after="0" w:line="240" w:lineRule="auto"/>
              <w:rPr>
                <w:rFonts w:ascii="楷体" w:eastAsia="楷体" w:hAnsi="楷体" w:cs="楷体"/>
                <w:bCs/>
                <w:sz w:val="24"/>
                <w:szCs w:val="20"/>
              </w:rPr>
            </w:pPr>
            <w:r>
              <w:rPr>
                <w:rFonts w:ascii="Segoe UI Symbol" w:eastAsia="楷体" w:hAnsi="Segoe UI Symbol" w:cs="楷体"/>
                <w:bCs/>
                <w:sz w:val="28"/>
              </w:rPr>
              <w:t>{{IsFixed}}</w:t>
            </w:r>
            <w:r>
              <w:rPr>
                <w:rFonts w:ascii="楷体" w:eastAsia="楷体" w:hAnsi="楷体" w:cs="楷体" w:hint="eastAsia"/>
                <w:bCs/>
                <w:sz w:val="24"/>
                <w:szCs w:val="20"/>
              </w:rPr>
              <w:t>固定利率：【{{固定利率}}】 %</w:t>
            </w:r>
          </w:p>
          <w:p w14:paraId="3339186F" w14:textId="77777777" w:rsidR="00FE777E" w:rsidRDefault="00627A08">
            <w:pPr>
              <w:snapToGrid w:val="0"/>
              <w:spacing w:after="0" w:line="240" w:lineRule="auto"/>
              <w:rPr>
                <w:rFonts w:ascii="楷体" w:eastAsia="楷体" w:hAnsi="楷体" w:cs="楷体"/>
                <w:sz w:val="24"/>
                <w:szCs w:val="24"/>
              </w:rPr>
            </w:pPr>
            <w:r>
              <w:rPr>
                <w:rFonts w:ascii="Segoe UI Symbol" w:eastAsia="楷体" w:hAnsi="Segoe UI Symbol" w:cs="楷体"/>
                <w:bCs/>
                <w:sz w:val="28"/>
              </w:rPr>
              <w:t>{{IsFloat}}</w:t>
            </w:r>
            <w:r>
              <w:rPr>
                <w:rFonts w:ascii="楷体" w:eastAsia="楷体" w:hAnsi="楷体" w:cs="楷体" w:hint="eastAsia"/>
                <w:bCs/>
                <w:sz w:val="24"/>
                <w:szCs w:val="20"/>
              </w:rPr>
              <w:t>浮动利率：利差【{{利差}}】bp</w:t>
            </w:r>
          </w:p>
        </w:tc>
      </w:tr>
      <w:tr w:rsidR="00FE777E" w14:paraId="3EA4759A"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179850A7"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基本费率</w:t>
            </w:r>
          </w:p>
        </w:tc>
        <w:tc>
          <w:tcPr>
            <w:tcW w:w="4925" w:type="dxa"/>
            <w:tcBorders>
              <w:top w:val="single" w:sz="4" w:space="0" w:color="auto"/>
              <w:left w:val="single" w:sz="4" w:space="0" w:color="auto"/>
              <w:bottom w:val="single" w:sz="4" w:space="0" w:color="auto"/>
              <w:right w:val="single" w:sz="4" w:space="0" w:color="auto"/>
            </w:tcBorders>
          </w:tcPr>
          <w:p w14:paraId="495AE232"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【{{基本费率}}】%</w:t>
            </w:r>
          </w:p>
        </w:tc>
      </w:tr>
      <w:tr w:rsidR="00FE777E" w14:paraId="7B38C04B"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46405BD4" w14:textId="77777777" w:rsidR="00FE777E" w:rsidRDefault="00627A08">
            <w:pPr>
              <w:snapToGrid w:val="0"/>
              <w:spacing w:after="0" w:line="240" w:lineRule="auto"/>
              <w:rPr>
                <w:rFonts w:ascii="楷体" w:eastAsia="楷体" w:hAnsi="楷体" w:cs="楷体"/>
                <w:sz w:val="24"/>
                <w:szCs w:val="24"/>
              </w:rPr>
            </w:pPr>
            <w:r>
              <w:rPr>
                <w:rFonts w:ascii="楷体" w:eastAsia="楷体" w:hAnsi="楷体" w:cs="楷体" w:hint="eastAsia"/>
                <w:sz w:val="24"/>
                <w:szCs w:val="24"/>
              </w:rPr>
              <w:t>账户信息和联系方式</w:t>
            </w:r>
          </w:p>
        </w:tc>
        <w:tc>
          <w:tcPr>
            <w:tcW w:w="4925" w:type="dxa"/>
            <w:tcBorders>
              <w:top w:val="single" w:sz="4" w:space="0" w:color="auto"/>
              <w:left w:val="single" w:sz="4" w:space="0" w:color="auto"/>
              <w:bottom w:val="single" w:sz="4" w:space="0" w:color="auto"/>
              <w:right w:val="single" w:sz="4" w:space="0" w:color="auto"/>
            </w:tcBorders>
          </w:tcPr>
          <w:p w14:paraId="2E0FA76A" w14:textId="77777777" w:rsidR="00FE777E" w:rsidRDefault="00627A08">
            <w:pPr>
              <w:snapToGrid w:val="0"/>
              <w:spacing w:after="0" w:line="240" w:lineRule="auto"/>
              <w:rPr>
                <w:rFonts w:ascii="楷体" w:eastAsia="楷体" w:hAnsi="楷体" w:cs="楷体"/>
                <w:sz w:val="24"/>
                <w:szCs w:val="24"/>
                <w:lang w:val="en-US"/>
              </w:rPr>
            </w:pPr>
            <w:r>
              <w:rPr>
                <w:rFonts w:ascii="楷体" w:eastAsia="楷体" w:hAnsi="楷体" w:cs="楷体" w:hint="eastAsia"/>
                <w:b/>
                <w:sz w:val="24"/>
                <w:szCs w:val="24"/>
                <w:lang w:val="en-US"/>
              </w:rPr>
              <w:t>甲方</w:t>
            </w:r>
            <w:r>
              <w:rPr>
                <w:rFonts w:ascii="楷体" w:eastAsia="楷体" w:hAnsi="楷体" w:cs="楷体" w:hint="eastAsia"/>
                <w:sz w:val="24"/>
                <w:szCs w:val="24"/>
                <w:lang w:val="en-US"/>
              </w:rPr>
              <w:t>：</w:t>
            </w:r>
            <w:r>
              <w:rPr>
                <w:rFonts w:ascii="楷体" w:eastAsia="楷体" w:hAnsi="楷体" w:cs="楷体" w:hint="eastAsia"/>
                <w:b/>
                <w:bCs/>
                <w:sz w:val="24"/>
                <w:szCs w:val="24"/>
                <w:lang w:val="en-US"/>
              </w:rPr>
              <w:t>国联民生证券股份有限公司</w:t>
            </w:r>
          </w:p>
          <w:p w14:paraId="2996475B" w14:textId="77777777" w:rsidR="00FE777E" w:rsidRDefault="00627A08">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开户行：中国建设银行股份有限公司北京西四支行</w:t>
            </w:r>
          </w:p>
          <w:p w14:paraId="053C2A3B" w14:textId="77777777" w:rsidR="00FE777E" w:rsidRDefault="00627A08">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账户名：</w:t>
            </w:r>
            <w:r>
              <w:rPr>
                <w:rFonts w:ascii="楷体" w:eastAsia="楷体" w:hAnsi="楷体" w:cs="楷体" w:hint="eastAsia"/>
                <w:sz w:val="24"/>
                <w:szCs w:val="24"/>
                <w:lang w:val="en-US"/>
              </w:rPr>
              <w:t>国联民生证券股份有限公司</w:t>
            </w:r>
          </w:p>
          <w:p w14:paraId="702CC770" w14:textId="77777777" w:rsidR="00FE777E" w:rsidRDefault="00627A08">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账号：11050161360000003952</w:t>
            </w:r>
          </w:p>
          <w:p w14:paraId="00EC01C3" w14:textId="77777777" w:rsidR="00FE777E" w:rsidRDefault="00627A08">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【支付系统号（如适用）：105100003023】</w:t>
            </w:r>
          </w:p>
          <w:p w14:paraId="790C42DE" w14:textId="77777777" w:rsidR="00FE777E" w:rsidRDefault="00627A08">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 xml:space="preserve">联系人：王睿敏 </w:t>
            </w:r>
          </w:p>
          <w:p w14:paraId="666E4538" w14:textId="77777777" w:rsidR="00FE777E" w:rsidRDefault="00627A08">
            <w:pPr>
              <w:snapToGrid w:val="0"/>
              <w:spacing w:after="0" w:line="240" w:lineRule="auto"/>
              <w:rPr>
                <w:rFonts w:ascii="楷体" w:eastAsia="楷体" w:hAnsi="楷体" w:cs="楷体"/>
                <w:i/>
                <w:iCs/>
                <w:sz w:val="24"/>
                <w:szCs w:val="24"/>
                <w:lang w:val="en-GB"/>
              </w:rPr>
            </w:pPr>
            <w:r>
              <w:rPr>
                <w:rFonts w:ascii="楷体" w:eastAsia="楷体" w:hAnsi="楷体" w:cs="楷体" w:hint="eastAsia"/>
                <w:sz w:val="24"/>
                <w:szCs w:val="24"/>
                <w:lang w:val="en-GB"/>
              </w:rPr>
              <w:t>电子邮件：wangrm@glms.com.cn</w:t>
            </w:r>
          </w:p>
          <w:p w14:paraId="2F62636A" w14:textId="77777777" w:rsidR="00FE777E" w:rsidRDefault="00627A08">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电话：021-8050 8891</w:t>
            </w:r>
          </w:p>
          <w:p w14:paraId="6C8CACD3" w14:textId="77777777" w:rsidR="00FE777E" w:rsidRDefault="00627A08">
            <w:pPr>
              <w:snapToGrid w:val="0"/>
              <w:spacing w:after="0" w:line="240" w:lineRule="auto"/>
              <w:rPr>
                <w:rFonts w:ascii="楷体" w:eastAsia="楷体" w:hAnsi="楷体" w:cs="楷体"/>
                <w:sz w:val="24"/>
                <w:szCs w:val="24"/>
                <w:lang w:val="en-US"/>
              </w:rPr>
            </w:pPr>
            <w:r>
              <w:rPr>
                <w:rFonts w:ascii="楷体" w:eastAsia="楷体" w:hAnsi="楷体" w:cs="楷体" w:hint="eastAsia"/>
                <w:b/>
                <w:sz w:val="24"/>
                <w:szCs w:val="24"/>
                <w:lang w:val="en-US"/>
              </w:rPr>
              <w:t>乙方</w:t>
            </w:r>
            <w:r>
              <w:rPr>
                <w:rFonts w:ascii="楷体" w:eastAsia="楷体" w:hAnsi="楷体" w:cs="楷体" w:hint="eastAsia"/>
                <w:sz w:val="24"/>
                <w:szCs w:val="24"/>
                <w:lang w:val="en-US"/>
              </w:rPr>
              <w:t>： {{客户名称}}</w:t>
            </w:r>
          </w:p>
          <w:p w14:paraId="6BCF1A41" w14:textId="77777777" w:rsidR="00FE777E" w:rsidRDefault="00627A08">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开户行： {{开户行}}</w:t>
            </w:r>
          </w:p>
          <w:p w14:paraId="032F1658" w14:textId="77777777" w:rsidR="00FE777E" w:rsidRDefault="00627A08">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账户名： {{户名}}</w:t>
            </w:r>
          </w:p>
          <w:p w14:paraId="4078E2A5" w14:textId="77777777" w:rsidR="00FE777E" w:rsidRDefault="00627A08">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账号：{{银行账号}}</w:t>
            </w:r>
          </w:p>
          <w:p w14:paraId="789BA204" w14:textId="77777777" w:rsidR="00FE777E" w:rsidRDefault="00627A08">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【支付系统号（如适用）：{{支付系统号}}】</w:t>
            </w:r>
          </w:p>
          <w:p w14:paraId="05A36EA4" w14:textId="77777777" w:rsidR="00FE777E" w:rsidRDefault="00627A08">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联系人： {{联系人}}</w:t>
            </w:r>
          </w:p>
          <w:p w14:paraId="69D82E5E" w14:textId="77777777" w:rsidR="00FE777E" w:rsidRDefault="00627A08">
            <w:pPr>
              <w:snapToGrid w:val="0"/>
              <w:spacing w:after="0" w:line="240" w:lineRule="auto"/>
              <w:rPr>
                <w:rFonts w:ascii="楷体" w:eastAsia="楷体" w:hAnsi="楷体" w:cs="楷体"/>
                <w:i/>
                <w:iCs/>
                <w:sz w:val="24"/>
                <w:szCs w:val="24"/>
                <w:lang w:val="en-GB"/>
              </w:rPr>
            </w:pPr>
            <w:r>
              <w:rPr>
                <w:rFonts w:ascii="楷体" w:eastAsia="楷体" w:hAnsi="楷体" w:cs="楷体" w:hint="eastAsia"/>
                <w:sz w:val="24"/>
                <w:szCs w:val="24"/>
                <w:lang w:val="en-GB"/>
              </w:rPr>
              <w:lastRenderedPageBreak/>
              <w:t>电子邮件：{{电子邮件}}</w:t>
            </w:r>
          </w:p>
          <w:p w14:paraId="2577AD1C" w14:textId="77777777" w:rsidR="00FE777E" w:rsidRDefault="00627A08">
            <w:pPr>
              <w:snapToGrid w:val="0"/>
              <w:spacing w:after="0" w:line="240" w:lineRule="auto"/>
              <w:rPr>
                <w:rFonts w:ascii="楷体" w:eastAsia="楷体" w:hAnsi="楷体" w:cs="楷体"/>
                <w:b/>
                <w:bCs/>
                <w:sz w:val="24"/>
                <w:szCs w:val="24"/>
              </w:rPr>
            </w:pPr>
            <w:r>
              <w:rPr>
                <w:rFonts w:ascii="楷体" w:eastAsia="楷体" w:hAnsi="楷体" w:cs="楷体" w:hint="eastAsia"/>
                <w:sz w:val="24"/>
                <w:szCs w:val="24"/>
                <w:lang w:val="en-GB"/>
              </w:rPr>
              <w:t>电话：{{电话}}</w:t>
            </w:r>
          </w:p>
        </w:tc>
      </w:tr>
    </w:tbl>
    <w:p w14:paraId="4B35F522" w14:textId="77777777" w:rsidR="00FE777E" w:rsidRDefault="00627A08">
      <w:pPr>
        <w:snapToGrid w:val="0"/>
        <w:spacing w:after="0" w:line="240" w:lineRule="auto"/>
        <w:jc w:val="both"/>
        <w:rPr>
          <w:rFonts w:ascii="楷体" w:eastAsia="楷体" w:hAnsi="楷体" w:cs="楷体"/>
          <w:color w:val="000000"/>
          <w:sz w:val="24"/>
          <w:szCs w:val="24"/>
          <w:lang w:val="en-GB"/>
        </w:rPr>
      </w:pPr>
      <w:r>
        <w:rPr>
          <w:rFonts w:ascii="楷体" w:eastAsia="楷体" w:hAnsi="楷体" w:cs="楷体" w:hint="eastAsia"/>
        </w:rPr>
        <w:lastRenderedPageBreak/>
        <w:br w:type="page"/>
      </w:r>
      <w:r>
        <w:rPr>
          <w:rFonts w:ascii="楷体" w:eastAsia="楷体" w:hAnsi="楷体" w:cs="楷体" w:hint="eastAsia"/>
          <w:color w:val="000000"/>
          <w:sz w:val="24"/>
          <w:szCs w:val="24"/>
          <w:lang w:val="en-GB"/>
        </w:rPr>
        <w:lastRenderedPageBreak/>
        <w:t>本页为《国联民生证券股份有限公司场外衍生品交易确认书》交易编号</w:t>
      </w:r>
      <w:r>
        <w:rPr>
          <w:rFonts w:ascii="楷体" w:eastAsia="楷体" w:hAnsi="楷体" w:cs="楷体" w:hint="eastAsia"/>
          <w:sz w:val="24"/>
          <w:szCs w:val="24"/>
        </w:rPr>
        <w:t>{{合同编号}}</w:t>
      </w:r>
      <w:r>
        <w:rPr>
          <w:rFonts w:ascii="楷体" w:eastAsia="楷体" w:hAnsi="楷体" w:cs="楷体" w:hint="eastAsia"/>
          <w:color w:val="000000"/>
          <w:sz w:val="24"/>
          <w:szCs w:val="24"/>
          <w:lang w:val="en-GB"/>
        </w:rPr>
        <w:t>的签字页，无正文。</w:t>
      </w:r>
    </w:p>
    <w:p w14:paraId="7009E4CD" w14:textId="77777777" w:rsidR="00FE777E" w:rsidRDefault="00FE777E">
      <w:pPr>
        <w:autoSpaceDE w:val="0"/>
        <w:autoSpaceDN w:val="0"/>
        <w:adjustRightInd w:val="0"/>
        <w:spacing w:line="240" w:lineRule="auto"/>
        <w:jc w:val="both"/>
        <w:rPr>
          <w:rFonts w:ascii="楷体" w:eastAsia="楷体" w:hAnsi="楷体" w:cs="楷体"/>
          <w:sz w:val="24"/>
          <w:szCs w:val="24"/>
          <w:lang w:val="en-GB" w:eastAsia="ja-JP"/>
        </w:rPr>
      </w:pPr>
    </w:p>
    <w:p w14:paraId="469B894E" w14:textId="77777777" w:rsidR="00FE777E" w:rsidRDefault="00FE777E">
      <w:pPr>
        <w:autoSpaceDE w:val="0"/>
        <w:autoSpaceDN w:val="0"/>
        <w:adjustRightInd w:val="0"/>
        <w:spacing w:line="240" w:lineRule="auto"/>
        <w:jc w:val="both"/>
        <w:rPr>
          <w:rFonts w:ascii="楷体" w:eastAsia="楷体" w:hAnsi="楷体" w:cs="楷体"/>
          <w:sz w:val="24"/>
          <w:szCs w:val="24"/>
          <w:lang w:val="en-US" w:eastAsia="ja-JP"/>
        </w:rPr>
      </w:pPr>
    </w:p>
    <w:tbl>
      <w:tblPr>
        <w:tblStyle w:v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4A0" w:firstRow="1" w:lastRow="0" w:firstColumn="1" w:lastColumn="0" w:noHBand="0" w:noVBand="1"/>
      </w:tblPr>
      <w:tblGrid>
        <w:gridCol w:w="4777"/>
        <w:gridCol w:w="4778"/>
      </w:tblGrid>
      <w:tr w:rsidR="00FE777E" w14:paraId="56C17BE5" w14:textId="77777777">
        <w:trPr>
          <w:jc w:val="center"/>
        </w:trPr>
        <w:tc>
          <w:tcPr>
            <w:tcW w:w="4777" w:type="dxa"/>
          </w:tcPr>
          <w:p w14:paraId="57EF407D" w14:textId="77777777" w:rsidR="00FE777E" w:rsidRDefault="00627A08">
            <w:pPr>
              <w:spacing w:line="240" w:lineRule="auto"/>
              <w:rPr>
                <w:rFonts w:ascii="楷体" w:eastAsia="楷体" w:hAnsi="楷体" w:cs="楷体"/>
                <w:b/>
                <w:bCs/>
                <w:sz w:val="24"/>
                <w:szCs w:val="24"/>
                <w:lang w:val="en-US"/>
              </w:rPr>
            </w:pPr>
            <w:r>
              <w:rPr>
                <w:rFonts w:ascii="楷体" w:eastAsia="楷体" w:hAnsi="楷体" w:cs="楷体" w:hint="eastAsia"/>
                <w:b/>
                <w:bCs/>
                <w:sz w:val="24"/>
                <w:szCs w:val="24"/>
                <w:lang w:val="en-US"/>
              </w:rPr>
              <w:t>甲方：国联民生证券股份有限公司</w:t>
            </w:r>
          </w:p>
          <w:p w14:paraId="1089DC5F" w14:textId="77777777" w:rsidR="00FE777E" w:rsidRDefault="00FE777E">
            <w:pPr>
              <w:spacing w:line="240" w:lineRule="auto"/>
              <w:rPr>
                <w:rFonts w:ascii="楷体" w:eastAsia="楷体" w:hAnsi="楷体" w:cs="楷体"/>
                <w:sz w:val="24"/>
                <w:szCs w:val="24"/>
                <w:lang w:val="en-US"/>
              </w:rPr>
            </w:pPr>
          </w:p>
          <w:p w14:paraId="13D7DDA4" w14:textId="77777777" w:rsidR="00FE777E" w:rsidRDefault="00FE777E">
            <w:pPr>
              <w:spacing w:line="240" w:lineRule="auto"/>
              <w:rPr>
                <w:rFonts w:ascii="楷体" w:eastAsia="楷体" w:hAnsi="楷体" w:cs="楷体"/>
                <w:sz w:val="24"/>
                <w:szCs w:val="24"/>
                <w:lang w:val="en-US"/>
              </w:rPr>
            </w:pPr>
          </w:p>
          <w:p w14:paraId="5B5E87BC" w14:textId="77777777" w:rsidR="00FE777E" w:rsidRDefault="00FE777E">
            <w:pPr>
              <w:spacing w:line="240" w:lineRule="auto"/>
              <w:rPr>
                <w:rFonts w:ascii="楷体" w:eastAsia="楷体" w:hAnsi="楷体" w:cs="楷体"/>
                <w:sz w:val="24"/>
                <w:szCs w:val="24"/>
                <w:lang w:val="en-US"/>
              </w:rPr>
            </w:pPr>
          </w:p>
          <w:p w14:paraId="548A291D" w14:textId="77777777" w:rsidR="00FE777E" w:rsidRDefault="00627A08">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公章或授权业务章：</w:t>
            </w:r>
          </w:p>
          <w:p w14:paraId="53581400" w14:textId="77777777" w:rsidR="00FE777E" w:rsidRDefault="00FE777E">
            <w:pPr>
              <w:spacing w:line="240" w:lineRule="auto"/>
              <w:rPr>
                <w:rFonts w:ascii="楷体" w:eastAsia="楷体" w:hAnsi="楷体" w:cs="楷体"/>
                <w:sz w:val="24"/>
                <w:szCs w:val="24"/>
                <w:lang w:val="en-US"/>
              </w:rPr>
            </w:pPr>
          </w:p>
          <w:p w14:paraId="7504355D" w14:textId="77777777" w:rsidR="00FE777E" w:rsidRDefault="00627A08">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日期：</w:t>
            </w:r>
            <w:r>
              <w:rPr>
                <w:rFonts w:ascii="楷体" w:eastAsia="楷体" w:hAnsi="楷体" w:cs="楷体" w:hint="eastAsia"/>
                <w:sz w:val="24"/>
                <w:szCs w:val="24"/>
                <w:lang w:val="en-US"/>
              </w:rPr>
              <w:tab/>
              <w:t>{{成交日期/}}</w:t>
            </w:r>
          </w:p>
        </w:tc>
        <w:tc>
          <w:tcPr>
            <w:tcW w:w="4778" w:type="dxa"/>
          </w:tcPr>
          <w:p w14:paraId="3D802A2B" w14:textId="77777777" w:rsidR="00FE777E" w:rsidRDefault="00627A08">
            <w:pPr>
              <w:spacing w:line="240" w:lineRule="auto"/>
              <w:rPr>
                <w:rFonts w:ascii="楷体" w:eastAsia="楷体" w:hAnsi="楷体" w:cs="楷体"/>
                <w:b/>
                <w:bCs/>
                <w:sz w:val="24"/>
                <w:szCs w:val="24"/>
                <w:lang w:val="en-US"/>
              </w:rPr>
            </w:pPr>
            <w:r>
              <w:rPr>
                <w:rFonts w:ascii="楷体" w:eastAsia="楷体" w:hAnsi="楷体" w:cs="楷体" w:hint="eastAsia"/>
                <w:b/>
                <w:bCs/>
                <w:sz w:val="24"/>
                <w:szCs w:val="24"/>
                <w:lang w:val="en-US"/>
              </w:rPr>
              <w:t>乙方：{{客户名称}}</w:t>
            </w:r>
            <w:r>
              <w:rPr>
                <w:rFonts w:ascii="楷体" w:eastAsia="楷体" w:hAnsi="楷体" w:cs="楷体" w:hint="eastAsia"/>
                <w:kern w:val="2"/>
                <w:sz w:val="24"/>
                <w:szCs w:val="24"/>
              </w:rPr>
              <w:t xml:space="preserve">  </w:t>
            </w:r>
          </w:p>
          <w:p w14:paraId="78DE9759" w14:textId="77777777" w:rsidR="00FE777E" w:rsidRDefault="00FE777E">
            <w:pPr>
              <w:spacing w:line="240" w:lineRule="auto"/>
              <w:ind w:firstLineChars="2000" w:firstLine="4800"/>
              <w:rPr>
                <w:rFonts w:ascii="楷体" w:eastAsia="楷体" w:hAnsi="楷体" w:cs="楷体"/>
                <w:sz w:val="24"/>
                <w:szCs w:val="24"/>
                <w:lang w:val="en-US"/>
              </w:rPr>
            </w:pPr>
          </w:p>
          <w:p w14:paraId="0E612879" w14:textId="77777777" w:rsidR="00FE777E" w:rsidRDefault="00FE777E">
            <w:pPr>
              <w:spacing w:line="240" w:lineRule="auto"/>
              <w:rPr>
                <w:rFonts w:ascii="楷体" w:eastAsia="楷体" w:hAnsi="楷体" w:cs="楷体"/>
                <w:sz w:val="24"/>
                <w:szCs w:val="24"/>
                <w:lang w:val="en-US"/>
              </w:rPr>
            </w:pPr>
          </w:p>
          <w:p w14:paraId="405A563D" w14:textId="77777777" w:rsidR="00FE777E" w:rsidRDefault="00FE777E">
            <w:pPr>
              <w:spacing w:line="240" w:lineRule="auto"/>
              <w:rPr>
                <w:rFonts w:ascii="楷体" w:eastAsia="楷体" w:hAnsi="楷体" w:cs="楷体"/>
                <w:sz w:val="24"/>
                <w:szCs w:val="24"/>
                <w:lang w:val="en-US"/>
              </w:rPr>
            </w:pPr>
          </w:p>
          <w:p w14:paraId="64AB4969" w14:textId="77777777" w:rsidR="00FE777E" w:rsidRDefault="00627A08">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公章或授权业务章：</w:t>
            </w:r>
          </w:p>
          <w:p w14:paraId="1A2C2686" w14:textId="77777777" w:rsidR="00FE777E" w:rsidRDefault="00FE777E">
            <w:pPr>
              <w:spacing w:line="240" w:lineRule="auto"/>
              <w:rPr>
                <w:rFonts w:ascii="楷体" w:eastAsia="楷体" w:hAnsi="楷体" w:cs="楷体"/>
                <w:sz w:val="24"/>
                <w:szCs w:val="24"/>
                <w:lang w:val="en-US"/>
              </w:rPr>
            </w:pPr>
          </w:p>
          <w:p w14:paraId="2ACEB34E" w14:textId="77777777" w:rsidR="00FE777E" w:rsidRDefault="00627A08">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日期：</w:t>
            </w:r>
            <w:r>
              <w:rPr>
                <w:rFonts w:ascii="楷体" w:eastAsia="楷体" w:hAnsi="楷体" w:cs="楷体" w:hint="eastAsia"/>
                <w:sz w:val="24"/>
                <w:szCs w:val="24"/>
                <w:lang w:val="en-US"/>
              </w:rPr>
              <w:tab/>
            </w:r>
            <w:r>
              <w:rPr>
                <w:rFonts w:ascii="楷体" w:eastAsia="楷体" w:hAnsi="楷体" w:cs="楷体" w:hint="eastAsia"/>
                <w:sz w:val="24"/>
                <w:szCs w:val="24"/>
                <w:lang w:val="en-US"/>
              </w:rPr>
              <w:tab/>
            </w:r>
          </w:p>
        </w:tc>
      </w:tr>
    </w:tbl>
    <w:p w14:paraId="57BAE1BF" w14:textId="77777777" w:rsidR="00FE777E" w:rsidRDefault="00FE777E">
      <w:pPr>
        <w:spacing w:line="240" w:lineRule="auto"/>
        <w:rPr>
          <w:rFonts w:ascii="楷体" w:eastAsia="楷体" w:hAnsi="楷体" w:cs="楷体"/>
        </w:rPr>
      </w:pPr>
    </w:p>
    <w:p w14:paraId="37734942" w14:textId="77777777" w:rsidR="00FE777E" w:rsidRDefault="00FE777E">
      <w:pPr>
        <w:spacing w:line="240" w:lineRule="auto"/>
        <w:rPr>
          <w:rFonts w:ascii="楷体" w:eastAsia="楷体" w:hAnsi="楷体" w:cs="楷体"/>
        </w:rPr>
      </w:pPr>
    </w:p>
    <w:p w14:paraId="5CCE3FE4" w14:textId="77777777" w:rsidR="00FE777E" w:rsidRDefault="00FE777E">
      <w:pPr>
        <w:spacing w:line="240" w:lineRule="auto"/>
        <w:rPr>
          <w:rFonts w:ascii="楷体" w:eastAsia="楷体" w:hAnsi="楷体" w:cs="楷体"/>
        </w:rPr>
      </w:pPr>
    </w:p>
    <w:p w14:paraId="6F7602A4" w14:textId="77777777" w:rsidR="00FE777E" w:rsidRDefault="00FE777E">
      <w:pPr>
        <w:rPr>
          <w:rFonts w:ascii="楷体" w:eastAsia="楷体" w:hAnsi="楷体" w:cs="楷体"/>
        </w:rPr>
      </w:pPr>
    </w:p>
    <w:p w14:paraId="1D502E3D" w14:textId="77777777" w:rsidR="00FE777E" w:rsidRDefault="00FE777E">
      <w:pPr>
        <w:rPr>
          <w:rFonts w:ascii="楷体" w:eastAsia="楷体" w:hAnsi="楷体" w:cs="楷体"/>
        </w:rPr>
      </w:pPr>
    </w:p>
    <w:p w14:paraId="280A99ED" w14:textId="77777777" w:rsidR="00FE777E" w:rsidRDefault="00FE777E">
      <w:pPr>
        <w:rPr>
          <w:rFonts w:ascii="楷体" w:eastAsia="楷体" w:hAnsi="楷体" w:cs="楷体"/>
        </w:rPr>
      </w:pPr>
    </w:p>
    <w:sectPr w:rsidR="00FE777E">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0BCD" w14:textId="77777777" w:rsidR="00E241AD" w:rsidRDefault="00E241AD">
      <w:pPr>
        <w:spacing w:line="240" w:lineRule="auto"/>
      </w:pPr>
      <w:r>
        <w:separator/>
      </w:r>
    </w:p>
  </w:endnote>
  <w:endnote w:type="continuationSeparator" w:id="0">
    <w:p w14:paraId="3A079491" w14:textId="77777777" w:rsidR="00E241AD" w:rsidRDefault="00E24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53F14CF1" w14:textId="77777777" w:rsidR="00FE777E" w:rsidRDefault="00627A08">
        <w:pPr>
          <w:pStyle w:val="a5"/>
          <w:jc w:val="center"/>
        </w:pPr>
        <w:r>
          <w:fldChar w:fldCharType="begin"/>
        </w:r>
        <w:r>
          <w:instrText>PAGE   \* MERGEFORMAT</w:instrText>
        </w:r>
        <w:r>
          <w:fldChar w:fldCharType="separate"/>
        </w:r>
        <w:r>
          <w:t>15</w:t>
        </w:r>
        <w:r>
          <w:fldChar w:fldCharType="end"/>
        </w:r>
      </w:p>
    </w:sdtContent>
  </w:sdt>
  <w:p w14:paraId="6B219230" w14:textId="77777777" w:rsidR="00FE777E" w:rsidRDefault="00FE77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252E7" w14:textId="77777777" w:rsidR="00E241AD" w:rsidRDefault="00E241AD">
      <w:pPr>
        <w:spacing w:after="0"/>
      </w:pPr>
      <w:r>
        <w:separator/>
      </w:r>
    </w:p>
  </w:footnote>
  <w:footnote w:type="continuationSeparator" w:id="0">
    <w:p w14:paraId="517F07EE" w14:textId="77777777" w:rsidR="00E241AD" w:rsidRDefault="00E241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4E0"/>
    <w:multiLevelType w:val="multilevel"/>
    <w:tmpl w:val="035574E0"/>
    <w:lvl w:ilvl="0">
      <w:start w:val="1"/>
      <w:numFmt w:val="decimal"/>
      <w:lvlText w:val="（%1）"/>
      <w:lvlJc w:val="left"/>
      <w:pPr>
        <w:ind w:left="860" w:hanging="420"/>
      </w:p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846"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 w15:restartNumberingAfterBreak="0">
    <w:nsid w:val="06D84C5C"/>
    <w:multiLevelType w:val="multilevel"/>
    <w:tmpl w:val="06D84C5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020D94"/>
    <w:multiLevelType w:val="multilevel"/>
    <w:tmpl w:val="16020D94"/>
    <w:lvl w:ilvl="0">
      <w:start w:val="1"/>
      <w:numFmt w:val="decimal"/>
      <w:lvlText w:val="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395E4B"/>
    <w:multiLevelType w:val="multilevel"/>
    <w:tmpl w:val="27395E4B"/>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5157F2"/>
    <w:multiLevelType w:val="multilevel"/>
    <w:tmpl w:val="335157F2"/>
    <w:lvl w:ilvl="0">
      <w:start w:val="1"/>
      <w:numFmt w:val="chineseCountingThousand"/>
      <w:lvlText w:val="%1、"/>
      <w:lvlJc w:val="left"/>
      <w:pPr>
        <w:ind w:left="420" w:hanging="420"/>
      </w:pPr>
      <w:rPr>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2AC4FED"/>
    <w:multiLevelType w:val="multilevel"/>
    <w:tmpl w:val="52AC4FED"/>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7E82A8A"/>
    <w:multiLevelType w:val="multilevel"/>
    <w:tmpl w:val="57E82A8A"/>
    <w:lvl w:ilvl="0">
      <w:start w:val="1"/>
      <w:numFmt w:val="decimal"/>
      <w:lvlText w:val="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E720CE0"/>
    <w:multiLevelType w:val="multilevel"/>
    <w:tmpl w:val="5E720CE0"/>
    <w:lvl w:ilvl="0">
      <w:start w:val="1"/>
      <w:numFmt w:val="decimal"/>
      <w:lvlText w:val="7.%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B8652E3"/>
    <w:multiLevelType w:val="multilevel"/>
    <w:tmpl w:val="6B8652E3"/>
    <w:lvl w:ilvl="0">
      <w:start w:val="1"/>
      <w:numFmt w:val="decimal"/>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9156E07"/>
    <w:multiLevelType w:val="multilevel"/>
    <w:tmpl w:val="79156E07"/>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A1D0946"/>
    <w:multiLevelType w:val="multilevel"/>
    <w:tmpl w:val="7A1D094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70371677">
    <w:abstractNumId w:val="4"/>
  </w:num>
  <w:num w:numId="2" w16cid:durableId="1899317177">
    <w:abstractNumId w:val="5"/>
  </w:num>
  <w:num w:numId="3" w16cid:durableId="1201278988">
    <w:abstractNumId w:val="9"/>
  </w:num>
  <w:num w:numId="4" w16cid:durableId="587424732">
    <w:abstractNumId w:val="2"/>
  </w:num>
  <w:num w:numId="5" w16cid:durableId="436944556">
    <w:abstractNumId w:val="8"/>
  </w:num>
  <w:num w:numId="6" w16cid:durableId="1002395281">
    <w:abstractNumId w:val="3"/>
  </w:num>
  <w:num w:numId="7" w16cid:durableId="1065181910">
    <w:abstractNumId w:val="7"/>
  </w:num>
  <w:num w:numId="8" w16cid:durableId="454175916">
    <w:abstractNumId w:val="10"/>
  </w:num>
  <w:num w:numId="9" w16cid:durableId="1739088589">
    <w:abstractNumId w:val="6"/>
  </w:num>
  <w:num w:numId="10" w16cid:durableId="1556046618">
    <w:abstractNumId w:val="0"/>
  </w:num>
  <w:num w:numId="11" w16cid:durableId="878124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3F2"/>
    <w:rsid w:val="00035542"/>
    <w:rsid w:val="0007657E"/>
    <w:rsid w:val="00096842"/>
    <w:rsid w:val="000A75B1"/>
    <w:rsid w:val="000A7D08"/>
    <w:rsid w:val="000B42DA"/>
    <w:rsid w:val="000C6C34"/>
    <w:rsid w:val="000D41D1"/>
    <w:rsid w:val="000F6DF8"/>
    <w:rsid w:val="00104F9D"/>
    <w:rsid w:val="00116843"/>
    <w:rsid w:val="00125A17"/>
    <w:rsid w:val="00142EA9"/>
    <w:rsid w:val="00152F2F"/>
    <w:rsid w:val="001911C6"/>
    <w:rsid w:val="001A5956"/>
    <w:rsid w:val="001D5389"/>
    <w:rsid w:val="001E1697"/>
    <w:rsid w:val="001F2769"/>
    <w:rsid w:val="002038A1"/>
    <w:rsid w:val="00221520"/>
    <w:rsid w:val="002737AB"/>
    <w:rsid w:val="00293F2D"/>
    <w:rsid w:val="00296872"/>
    <w:rsid w:val="003034C2"/>
    <w:rsid w:val="00345FC6"/>
    <w:rsid w:val="003843F2"/>
    <w:rsid w:val="003A2BCE"/>
    <w:rsid w:val="003A78BF"/>
    <w:rsid w:val="003F0C48"/>
    <w:rsid w:val="0041512A"/>
    <w:rsid w:val="00431435"/>
    <w:rsid w:val="0043739E"/>
    <w:rsid w:val="00464607"/>
    <w:rsid w:val="00487135"/>
    <w:rsid w:val="0049054A"/>
    <w:rsid w:val="004B3E0F"/>
    <w:rsid w:val="004B4292"/>
    <w:rsid w:val="004B5D05"/>
    <w:rsid w:val="004D1FC7"/>
    <w:rsid w:val="004E113A"/>
    <w:rsid w:val="00520500"/>
    <w:rsid w:val="005239B9"/>
    <w:rsid w:val="005521CB"/>
    <w:rsid w:val="005577D0"/>
    <w:rsid w:val="005648D2"/>
    <w:rsid w:val="005A7E71"/>
    <w:rsid w:val="005C0988"/>
    <w:rsid w:val="005D7C97"/>
    <w:rsid w:val="006179C9"/>
    <w:rsid w:val="0062489C"/>
    <w:rsid w:val="00627A08"/>
    <w:rsid w:val="00640137"/>
    <w:rsid w:val="00661FD5"/>
    <w:rsid w:val="00662973"/>
    <w:rsid w:val="00683216"/>
    <w:rsid w:val="00686CF8"/>
    <w:rsid w:val="006A3849"/>
    <w:rsid w:val="006C20AA"/>
    <w:rsid w:val="006C2474"/>
    <w:rsid w:val="006C2B1A"/>
    <w:rsid w:val="006D2082"/>
    <w:rsid w:val="006E7158"/>
    <w:rsid w:val="006E761F"/>
    <w:rsid w:val="006F32E1"/>
    <w:rsid w:val="006F520A"/>
    <w:rsid w:val="00702F13"/>
    <w:rsid w:val="00705A6D"/>
    <w:rsid w:val="00721337"/>
    <w:rsid w:val="00754CC5"/>
    <w:rsid w:val="00785EF1"/>
    <w:rsid w:val="00786D6A"/>
    <w:rsid w:val="007C42DE"/>
    <w:rsid w:val="007E079F"/>
    <w:rsid w:val="007E08FB"/>
    <w:rsid w:val="007F1C08"/>
    <w:rsid w:val="0080063D"/>
    <w:rsid w:val="008128B9"/>
    <w:rsid w:val="00841A4E"/>
    <w:rsid w:val="0087252A"/>
    <w:rsid w:val="00874E6B"/>
    <w:rsid w:val="00892B81"/>
    <w:rsid w:val="008A1C1B"/>
    <w:rsid w:val="008D2A2F"/>
    <w:rsid w:val="008E3137"/>
    <w:rsid w:val="0090586E"/>
    <w:rsid w:val="00906091"/>
    <w:rsid w:val="0090696B"/>
    <w:rsid w:val="009338E8"/>
    <w:rsid w:val="00945E3E"/>
    <w:rsid w:val="00960DF0"/>
    <w:rsid w:val="00967E7A"/>
    <w:rsid w:val="00993016"/>
    <w:rsid w:val="00996413"/>
    <w:rsid w:val="00997F07"/>
    <w:rsid w:val="009C46A7"/>
    <w:rsid w:val="009C6CE2"/>
    <w:rsid w:val="009D0761"/>
    <w:rsid w:val="009E14ED"/>
    <w:rsid w:val="009E7C82"/>
    <w:rsid w:val="009F739E"/>
    <w:rsid w:val="00A14D87"/>
    <w:rsid w:val="00A46E76"/>
    <w:rsid w:val="00A832A4"/>
    <w:rsid w:val="00A96293"/>
    <w:rsid w:val="00AA1F40"/>
    <w:rsid w:val="00AB2F29"/>
    <w:rsid w:val="00AB42E5"/>
    <w:rsid w:val="00AB739F"/>
    <w:rsid w:val="00AD6BE1"/>
    <w:rsid w:val="00B2300F"/>
    <w:rsid w:val="00B26842"/>
    <w:rsid w:val="00B5720B"/>
    <w:rsid w:val="00BA0CF9"/>
    <w:rsid w:val="00BB284F"/>
    <w:rsid w:val="00C01CF6"/>
    <w:rsid w:val="00C0524E"/>
    <w:rsid w:val="00C4734A"/>
    <w:rsid w:val="00C56BC0"/>
    <w:rsid w:val="00CE28D0"/>
    <w:rsid w:val="00D052BA"/>
    <w:rsid w:val="00D43D84"/>
    <w:rsid w:val="00D52624"/>
    <w:rsid w:val="00D6679B"/>
    <w:rsid w:val="00DD5647"/>
    <w:rsid w:val="00DE71D5"/>
    <w:rsid w:val="00E0070B"/>
    <w:rsid w:val="00E030C7"/>
    <w:rsid w:val="00E14FB3"/>
    <w:rsid w:val="00E241AD"/>
    <w:rsid w:val="00E76578"/>
    <w:rsid w:val="00E95FC7"/>
    <w:rsid w:val="00F051A3"/>
    <w:rsid w:val="00F237A7"/>
    <w:rsid w:val="00F25BC7"/>
    <w:rsid w:val="00F317FA"/>
    <w:rsid w:val="00FC7490"/>
    <w:rsid w:val="00FE777E"/>
    <w:rsid w:val="00FF616C"/>
    <w:rsid w:val="18A3572A"/>
    <w:rsid w:val="206D2349"/>
    <w:rsid w:val="3D4B6030"/>
    <w:rsid w:val="405C6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655B6"/>
  <w15:docId w15:val="{72DD29E6-B749-4709-AF1B-F97E51789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table" w:styleId="a9">
    <w:name w:val="Table Grid"/>
    <w:basedOn w:val="a1"/>
    <w:uiPriority w:val="39"/>
    <w:qFormat/>
    <w:pPr>
      <w:spacing w:after="160" w:line="259" w:lineRule="auto"/>
    </w:pPr>
    <w:rPr>
      <w:rFonts w:ascii="Times New Roman" w:eastAsia="宋体" w:hAnsi="Times New Roman" w:cs="Times New Roman"/>
      <w:lang w:val="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脚 字符"/>
    <w:basedOn w:val="a0"/>
    <w:link w:val="a5"/>
    <w:uiPriority w:val="99"/>
    <w:qFormat/>
    <w:rPr>
      <w:kern w:val="0"/>
      <w:sz w:val="18"/>
      <w:szCs w:val="18"/>
      <w:lang w:val="zh-CN"/>
    </w:rPr>
  </w:style>
  <w:style w:type="paragraph" w:customStyle="1" w:styleId="1">
    <w:name w:val="列表段落1"/>
    <w:basedOn w:val="a"/>
    <w:uiPriority w:val="34"/>
    <w:qFormat/>
    <w:pPr>
      <w:ind w:left="720"/>
      <w:contextualSpacing/>
    </w:pPr>
  </w:style>
  <w:style w:type="paragraph" w:styleId="aa">
    <w:name w:val="List Paragraph"/>
    <w:basedOn w:val="a"/>
    <w:uiPriority w:val="34"/>
    <w:qFormat/>
    <w:pPr>
      <w:ind w:left="720"/>
      <w:contextualSpacing/>
    </w:pPr>
  </w:style>
  <w:style w:type="table" w:customStyle="1" w:styleId="10">
    <w:name w:val="网格型浅色1"/>
    <w:uiPriority w:val="40"/>
    <w:qFormat/>
    <w:pPr>
      <w:spacing w:after="160" w:line="259" w:lineRule="auto"/>
    </w:pPr>
    <w:rPr>
      <w:rFonts w:ascii="Calibri" w:eastAsia="宋体" w:hAnsi="Calibri" w:cs="Times New Roman"/>
      <w:lang w:val="zh-CN"/>
    </w:rPr>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CellMar>
        <w:top w:w="0" w:type="dxa"/>
        <w:left w:w="0" w:type="dxa"/>
        <w:bottom w:w="0" w:type="dxa"/>
        <w:right w:w="0" w:type="dxa"/>
      </w:tblCellMar>
    </w:tblPr>
  </w:style>
  <w:style w:type="character" w:customStyle="1" w:styleId="a4">
    <w:name w:val="批注框文本 字符"/>
    <w:basedOn w:val="a0"/>
    <w:link w:val="a3"/>
    <w:uiPriority w:val="99"/>
    <w:semiHidden/>
    <w:qFormat/>
    <w:rPr>
      <w:kern w:val="0"/>
      <w:sz w:val="18"/>
      <w:szCs w:val="18"/>
      <w:lang w:val="zh-CN"/>
    </w:rPr>
  </w:style>
  <w:style w:type="character" w:customStyle="1" w:styleId="a8">
    <w:name w:val="页眉 字符"/>
    <w:basedOn w:val="a0"/>
    <w:link w:val="a7"/>
    <w:uiPriority w:val="99"/>
    <w:qFormat/>
    <w:rPr>
      <w:kern w:val="0"/>
      <w:sz w:val="18"/>
      <w:szCs w:val="18"/>
      <w:lang w:val="zh-CN"/>
    </w:rPr>
  </w:style>
  <w:style w:type="paragraph" w:styleId="HTML">
    <w:name w:val="HTML Preformatted"/>
    <w:basedOn w:val="a"/>
    <w:link w:val="HTML0"/>
    <w:uiPriority w:val="99"/>
    <w:semiHidden/>
    <w:unhideWhenUsed/>
    <w:rsid w:val="00A96293"/>
    <w:rPr>
      <w:rFonts w:ascii="Courier New" w:hAnsi="Courier New" w:cs="Courier New"/>
      <w:sz w:val="20"/>
      <w:szCs w:val="20"/>
    </w:rPr>
  </w:style>
  <w:style w:type="character" w:customStyle="1" w:styleId="HTML0">
    <w:name w:val="HTML 预设格式 字符"/>
    <w:basedOn w:val="a0"/>
    <w:link w:val="HTML"/>
    <w:uiPriority w:val="99"/>
    <w:semiHidden/>
    <w:rsid w:val="00A96293"/>
    <w:rPr>
      <w:rFonts w:ascii="Courier New" w:hAnsi="Courier New" w:cs="Courier New"/>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17</Pages>
  <Words>1791</Words>
  <Characters>10212</Characters>
  <Application>Microsoft Office Word</Application>
  <DocSecurity>0</DocSecurity>
  <Lines>85</Lines>
  <Paragraphs>23</Paragraphs>
  <ScaleCrop>false</ScaleCrop>
  <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glsc</dc:creator>
  <cp:lastModifiedBy>锦麟 王</cp:lastModifiedBy>
  <cp:revision>56</cp:revision>
  <dcterms:created xsi:type="dcterms:W3CDTF">2026-03-03T02:51:00Z</dcterms:created>
  <dcterms:modified xsi:type="dcterms:W3CDTF">2026-08-27T11:16:00Z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eyJoZGlkIjoiNjYwYzM3YmJlMWYxYzY5OTNkNDdhZjAwNjBjY2EzMDYiLCJ1c2VySWQiOiIxMTcxNTcyNjU1In0=</vt:lpwstr>
  </property>
  <property fmtid="{D5CDD505-2E9C-101B-9397-08002B2CF9AE}" pid="4" name="ICV">
    <vt:lpwstr>E402B452B5D44C12919DA08AA38A1F4F_12</vt:lpwstr>
  </property>
</Properties>
</file>